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1"/>
          <w:szCs w:val="21"/>
        </w:rPr>
      </w:pPr>
      <w:r w:rsidDel="00000000" w:rsidR="00000000" w:rsidRPr="00000000">
        <w:rPr>
          <w:b w:val="1"/>
          <w:sz w:val="21"/>
          <w:szCs w:val="21"/>
          <w:rtl w:val="0"/>
        </w:rPr>
        <w:t xml:space="preserve">Modellierung eines Gases im abgeschlossenen Raum</w:t>
      </w:r>
      <w:r w:rsidDel="00000000" w:rsidR="00000000" w:rsidRPr="00000000">
        <w:rPr>
          <w:rtl w:val="0"/>
        </w:rPr>
      </w:r>
    </w:p>
    <w:p w:rsidR="00000000" w:rsidDel="00000000" w:rsidP="00000000" w:rsidRDefault="00000000" w:rsidRPr="00000000" w14:paraId="00000002">
      <w:pPr>
        <w:rPr>
          <w:sz w:val="21"/>
          <w:szCs w:val="21"/>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Die digitale Lernumgebung NetLogo bietet sehr viele Möglichkeiten der Modellierung von Sachverhalten, nicht nur für den naturwissenschaftlichen Bereich. Basis sind Simulationen, die individuell bearbeitet werden können. Es gibt dabei vielfältige Möglichkeiten zur Visualisierung von Daten, die im Simulationsprozess anfallen. In diesem Beispiel wird auf Basis des Teilchenmodells Gas in einem abgeschlossenen Raum simuliert. Einer festgelegten Teilchenanzahl können in einem Container z.B. eine Geschwindigkeit (particle-speed) oder eine Masse (particle-mass) zugewiesen werden. Die Teilchenfarbe beschreibt eine niedrige, mittlere oder hohe Geschwindigkeit der Teilchen. </w:t>
      </w:r>
    </w:p>
    <w:p w:rsidR="00000000" w:rsidDel="00000000" w:rsidP="00000000" w:rsidRDefault="00000000" w:rsidRPr="00000000" w14:paraId="00000004">
      <w:pPr>
        <w:rPr/>
      </w:pPr>
      <w:r w:rsidDel="00000000" w:rsidR="00000000" w:rsidRPr="00000000">
        <w:br w:type="page"/>
      </w:r>
      <w:r w:rsidDel="00000000" w:rsidR="00000000" w:rsidRPr="00000000">
        <w:rPr/>
        <w:drawing>
          <wp:inline distB="0" distT="0" distL="0" distR="0">
            <wp:extent cx="5511340" cy="289549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11340" cy="2895490"/>
                    </a:xfrm>
                    <a:prstGeom prst="rect"/>
                    <a:ln/>
                  </pic:spPr>
                </pic:pic>
              </a:graphicData>
            </a:graphic>
          </wp:inline>
        </w:drawing>
      </w:r>
      <w:r w:rsidDel="00000000" w:rsidR="00000000" w:rsidRPr="00000000">
        <w:rPr/>
        <w:drawing>
          <wp:inline distB="0" distT="0" distL="0" distR="0">
            <wp:extent cx="5563150" cy="2960755"/>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563150" cy="2960755"/>
                    </a:xfrm>
                    <a:prstGeom prst="rect"/>
                    <a:ln/>
                  </pic:spPr>
                </pic:pic>
              </a:graphicData>
            </a:graphic>
          </wp:inline>
        </w:drawing>
      </w:r>
      <w:r w:rsidDel="00000000" w:rsidR="00000000" w:rsidRPr="00000000">
        <w:rPr/>
        <w:drawing>
          <wp:inline distB="0" distT="0" distL="0" distR="0">
            <wp:extent cx="5592840" cy="2963601"/>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592840" cy="2963601"/>
                    </a:xfrm>
                    <a:prstGeom prst="rect"/>
                    <a:ln/>
                  </pic:spPr>
                </pic:pic>
              </a:graphicData>
            </a:graphic>
          </wp:inline>
        </w:drawing>
      </w:r>
      <w:r w:rsidDel="00000000" w:rsidR="00000000" w:rsidRPr="00000000">
        <w:rPr>
          <w:rtl w:val="0"/>
        </w:rPr>
        <w:t xml:space="preserve">Abbildung 1: Bildsequenz zur Simulation eines Gases im abgeschlossenen Raum: Teilchenkollision ausgeschlossen</w:t>
      </w:r>
    </w:p>
    <w:p w:rsidR="00000000" w:rsidDel="00000000" w:rsidP="00000000" w:rsidRDefault="00000000" w:rsidRPr="00000000" w14:paraId="00000005">
      <w:pPr>
        <w:rPr/>
      </w:pPr>
      <w:r w:rsidDel="00000000" w:rsidR="00000000" w:rsidRPr="00000000">
        <w:rPr/>
        <w:drawing>
          <wp:inline distB="0" distT="0" distL="0" distR="0">
            <wp:extent cx="5465842" cy="2907761"/>
            <wp:effectExtent b="0" l="0" r="0" t="0"/>
            <wp:docPr id="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5465842" cy="2907761"/>
                    </a:xfrm>
                    <a:prstGeom prst="rect"/>
                    <a:ln/>
                  </pic:spPr>
                </pic:pic>
              </a:graphicData>
            </a:graphic>
          </wp:inline>
        </w:drawing>
      </w:r>
      <w:r w:rsidDel="00000000" w:rsidR="00000000" w:rsidRPr="00000000">
        <w:rPr/>
        <w:drawing>
          <wp:inline distB="0" distT="0" distL="0" distR="0">
            <wp:extent cx="5485022" cy="2933089"/>
            <wp:effectExtent b="0" l="0" r="0" t="0"/>
            <wp:docPr id="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485022" cy="2933089"/>
                    </a:xfrm>
                    <a:prstGeom prst="rect"/>
                    <a:ln/>
                  </pic:spPr>
                </pic:pic>
              </a:graphicData>
            </a:graphic>
          </wp:inline>
        </w:drawing>
      </w:r>
      <w:r w:rsidDel="00000000" w:rsidR="00000000" w:rsidRPr="00000000">
        <w:rPr/>
        <w:drawing>
          <wp:inline distB="0" distT="0" distL="0" distR="0">
            <wp:extent cx="5538945" cy="2976588"/>
            <wp:effectExtent b="0" l="0" r="0" t="0"/>
            <wp:docPr id="1"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538945" cy="2976588"/>
                    </a:xfrm>
                    <a:prstGeom prst="rect"/>
                    <a:ln/>
                  </pic:spPr>
                </pic:pic>
              </a:graphicData>
            </a:graphic>
          </wp:inline>
        </w:drawing>
      </w:r>
      <w:r w:rsidDel="00000000" w:rsidR="00000000" w:rsidRPr="00000000">
        <w:rPr>
          <w:rtl w:val="0"/>
        </w:rPr>
        <w:t xml:space="preserve">Abbildung 2: Bildsequenz zur Simulation eines Gases im abgeschlossenen Raum: Teilchenkollision im Modell aufgenommen</w:t>
      </w:r>
    </w:p>
    <w:sectPr>
      <w:headerReference r:id="rId12" w:type="default"/>
      <w:pgSz w:h="16840" w:w="11900" w:orient="portrait"/>
      <w:pgMar w:bottom="930" w:top="15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otis Sans Serif St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Rotis Sans Serif Std" w:cs="Rotis Sans Serif Std" w:eastAsia="Rotis Sans Serif Std" w:hAnsi="Rotis Sans Serif Std"/>
        <w:b w:val="0"/>
        <w:i w:val="0"/>
        <w:smallCaps w:val="0"/>
        <w:strike w:val="0"/>
        <w:color w:val="000000"/>
        <w:sz w:val="20"/>
        <w:szCs w:val="20"/>
        <w:u w:val="none"/>
        <w:shd w:fill="auto" w:val="clear"/>
        <w:vertAlign w:val="baseline"/>
      </w:rPr>
    </w:pPr>
    <w:r w:rsidDel="00000000" w:rsidR="00000000" w:rsidRPr="00000000">
      <w:rPr>
        <w:rFonts w:ascii="Rotis Sans Serif Std" w:cs="Rotis Sans Serif Std" w:eastAsia="Rotis Sans Serif Std" w:hAnsi="Rotis Sans Serif Std"/>
        <w:b w:val="0"/>
        <w:i w:val="0"/>
        <w:smallCaps w:val="0"/>
        <w:strike w:val="0"/>
        <w:color w:val="000000"/>
        <w:sz w:val="20"/>
        <w:szCs w:val="20"/>
        <w:u w:val="none"/>
        <w:shd w:fill="auto" w:val="clear"/>
        <w:vertAlign w:val="baseline"/>
        <w:rtl w:val="0"/>
      </w:rPr>
      <w:t xml:space="preserve">Zusatzmaterial zu: Paul, Schanze, Sieve. Fachdidaktik Chemie in Theorie und Praxis. Springer, 2024 Material erstellt von Sascha Schanze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tis Sans Serif Std" w:cs="Rotis Sans Serif Std" w:eastAsia="Rotis Sans Serif Std" w:hAnsi="Rotis Sans Serif Std"/>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5.jpg"/><Relationship Id="rId12" Type="http://schemas.openxmlformats.org/officeDocument/2006/relationships/header" Target="header1.xml"/><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