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Mischen von Zucker und Wasser oder Tee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 hast doch sicherlich schon einmal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Zucker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Wasser oder Tee gegeben und den Vorgang beobachtet. Wie stellst du dir den Prozess vor?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Beantworte diese Frage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modellhaft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indem du eine Zeichnung anfertigst.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2454281" cy="183442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81" cy="1834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Didaktischer Hinweis: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diesem Arbeitsbogen ist den Schüler:innen ein Becherglas vorgegeben, in das sie hineinzeichnen können. Das provoziert das Vermischen der makroskopischen und der submikroskopischen Ebene.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 nach Vorerfahrungen der Lerngruppe sollte ein entsprechender Hinweis oder eine instruktionale Hilfestellung gegeben werden, wie z.B. das herauszoomen eines Bereichs aus dem Becherglas mit der „submikroskopischen Lupe“ (s.u.).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4519597" cy="2133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9597" cy="213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tis Sans Serif St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Zusatzmaterial zu: Paul, Schanze, Sieve. Fachdidaktik Chemie in Theorie und Praxis. Springer, 2024 Material erstellt von Sascha Schanze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tis Sans Serif Std" w:cs="Rotis Sans Serif Std" w:eastAsia="Rotis Sans Serif Std" w:hAnsi="Rotis Sans Serif St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tis Sans Serif Std" w:cs="Rotis Sans Serif Std" w:eastAsia="Rotis Sans Serif Std" w:hAnsi="Rotis Sans Serif Std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