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33288" w:rsidRPr="00233D11" w:rsidRDefault="00233D11">
      <w:pPr>
        <w:rPr>
          <w:b/>
          <w:bCs/>
        </w:rPr>
      </w:pPr>
      <w:r w:rsidRPr="00233D11">
        <w:rPr>
          <w:b/>
          <w:bCs/>
        </w:rPr>
        <w:t xml:space="preserve">Kapitel </w:t>
      </w:r>
      <w:r w:rsidR="005C2FDF">
        <w:rPr>
          <w:b/>
          <w:bCs/>
        </w:rPr>
        <w:t>8</w:t>
      </w:r>
      <w:r w:rsidRPr="00233D11">
        <w:rPr>
          <w:b/>
          <w:bCs/>
        </w:rPr>
        <w:t>: Lösungshinweise zu den Aufgaben</w:t>
      </w:r>
    </w:p>
    <w:p w:rsidR="00233D11" w:rsidRDefault="00233D11"/>
    <w:p w:rsidR="00A3046D" w:rsidRPr="00F60049" w:rsidRDefault="00A3046D" w:rsidP="00A3046D">
      <w:pPr>
        <w:pBdr>
          <w:top w:val="single" w:sz="4" w:space="1" w:color="auto"/>
          <w:left w:val="single" w:sz="4" w:space="4" w:color="auto"/>
          <w:bottom w:val="single" w:sz="4" w:space="1" w:color="auto"/>
          <w:right w:val="single" w:sz="4" w:space="4" w:color="auto"/>
        </w:pBdr>
        <w:rPr>
          <w:i/>
          <w:iCs/>
        </w:rPr>
      </w:pPr>
      <w:r w:rsidRPr="00F60049">
        <w:rPr>
          <w:i/>
          <w:iCs/>
        </w:rPr>
        <w:t>Vorbemerkung: Die hier vorgestellten Lösungshinweise sind keine Musterlösungen, sondern beispielhafte Lösungsskizzen und -ideen. Adäquate alternative Lösungen sind natürlich möglich.</w:t>
      </w:r>
      <w:r>
        <w:rPr>
          <w:i/>
          <w:iCs/>
        </w:rPr>
        <w:t xml:space="preserve"> Zu einigen Aufgaben können keine Lösungshinweise angegeben werden. Meist handelt es sich dann um sehr individuelle Reflexionen oder Rechercheergebnisse.</w:t>
      </w:r>
    </w:p>
    <w:p w:rsidR="00A3046D" w:rsidRDefault="00A3046D"/>
    <w:p w:rsidR="00233D11" w:rsidRDefault="00A76D40">
      <w:r w:rsidRPr="00A76D40">
        <w:t>A8.1 Fertigen Sie eine Liste mit einer Auswahl der in der Chemiesammlung Ihrer Schule oder der Chemiedidaktik Ihrer Universität zu findenden inhaltsgebundenen und inhaltsoffenen Medien sowie der technischen Geräte an. Wählen Sie aus jeder Kategorie zwei Medien aus und konstruieren Sie jeweils ein Einsatzszenario für jedes Medium bzw. technische Gerät.</w:t>
      </w:r>
    </w:p>
    <w:p w:rsidR="00A76D40" w:rsidRDefault="00A76D40"/>
    <w:p w:rsidR="00A3046D" w:rsidRDefault="00A3046D" w:rsidP="00A3046D">
      <w:pPr>
        <w:rPr>
          <w:i/>
          <w:iCs/>
        </w:rPr>
      </w:pPr>
      <w:r>
        <w:rPr>
          <w:i/>
          <w:iCs/>
        </w:rPr>
        <w:t xml:space="preserve">Beispiele für inhaltsgebundene Medien: Chemieschulbuch, Anschauungsmodell zum Schalenmodell, Arbeitstransparent eines Lehrmittelverlages, Molekülbaukasten, magnetische Haftmodelle für Weißwandtafeln, Orbitaldarstellungen oder ein von einer Lehrkraft angefertigter Arbeits- oder Experimentierbogen, Periodensystemtafel, etc. </w:t>
      </w:r>
    </w:p>
    <w:p w:rsidR="00A3046D" w:rsidRDefault="00A3046D" w:rsidP="00A3046D">
      <w:pPr>
        <w:rPr>
          <w:i/>
          <w:iCs/>
        </w:rPr>
      </w:pPr>
      <w:r>
        <w:rPr>
          <w:i/>
          <w:iCs/>
        </w:rPr>
        <w:t xml:space="preserve">Beispiele für inhaltsoffene Medien: Knete, Zahnstocher, Styroporkugeln, Trinkhalmabschnitte, Klemmbausteine, Würfel, etc. </w:t>
      </w:r>
    </w:p>
    <w:p w:rsidR="00A3046D" w:rsidRDefault="00A3046D" w:rsidP="00A3046D">
      <w:pPr>
        <w:rPr>
          <w:i/>
          <w:iCs/>
        </w:rPr>
      </w:pPr>
      <w:r>
        <w:rPr>
          <w:i/>
          <w:iCs/>
        </w:rPr>
        <w:t xml:space="preserve">Beispiele für technische Geräte: Kreidetafel, interaktive Tafel, </w:t>
      </w:r>
      <w:proofErr w:type="spellStart"/>
      <w:r>
        <w:rPr>
          <w:i/>
          <w:iCs/>
        </w:rPr>
        <w:t>Beamer</w:t>
      </w:r>
      <w:proofErr w:type="spellEnd"/>
      <w:r>
        <w:rPr>
          <w:i/>
          <w:iCs/>
        </w:rPr>
        <w:t>, OHP, PC, Tablet, etc.</w:t>
      </w:r>
    </w:p>
    <w:p w:rsidR="008C721F" w:rsidRPr="00A3046D" w:rsidRDefault="00A3046D">
      <w:pPr>
        <w:rPr>
          <w:i/>
          <w:iCs/>
        </w:rPr>
      </w:pPr>
      <w:r w:rsidRPr="00A3046D">
        <w:rPr>
          <w:i/>
          <w:iCs/>
        </w:rPr>
        <w:t xml:space="preserve">Die Lösung </w:t>
      </w:r>
      <w:r>
        <w:rPr>
          <w:i/>
          <w:iCs/>
        </w:rPr>
        <w:t>des zweiten</w:t>
      </w:r>
      <w:r w:rsidRPr="00A3046D">
        <w:rPr>
          <w:i/>
          <w:iCs/>
        </w:rPr>
        <w:t xml:space="preserve"> Aufgabe</w:t>
      </w:r>
      <w:r>
        <w:rPr>
          <w:i/>
          <w:iCs/>
        </w:rPr>
        <w:t>nteils</w:t>
      </w:r>
      <w:r w:rsidRPr="00A3046D">
        <w:rPr>
          <w:i/>
          <w:iCs/>
        </w:rPr>
        <w:t xml:space="preserve"> hängt von der Beispielwahl ab; </w:t>
      </w:r>
      <w:r w:rsidR="00035993">
        <w:rPr>
          <w:i/>
          <w:iCs/>
        </w:rPr>
        <w:t xml:space="preserve">einheitliche </w:t>
      </w:r>
      <w:r w:rsidRPr="00A3046D">
        <w:rPr>
          <w:i/>
          <w:iCs/>
        </w:rPr>
        <w:t>Lösungshinweise können daher an dieser Stelle nicht gegeben werden.</w:t>
      </w:r>
      <w:r>
        <w:rPr>
          <w:i/>
          <w:iCs/>
        </w:rPr>
        <w:t xml:space="preserve"> </w:t>
      </w:r>
      <w:r w:rsidR="008C721F">
        <w:rPr>
          <w:i/>
          <w:iCs/>
        </w:rPr>
        <w:t>Beispielhafte Lösung siehe Lösung zu A8.3b)</w:t>
      </w:r>
    </w:p>
    <w:p w:rsidR="00A76D40" w:rsidRDefault="00A76D40" w:rsidP="00A76D40">
      <w:pPr>
        <w:pBdr>
          <w:bottom w:val="single" w:sz="4" w:space="1" w:color="auto"/>
        </w:pBdr>
      </w:pPr>
    </w:p>
    <w:p w:rsidR="00A76D40" w:rsidRDefault="00A76D40"/>
    <w:p w:rsidR="00A76D40" w:rsidRDefault="00A76D40" w:rsidP="00A76D40">
      <w:r w:rsidRPr="00A76D40">
        <w:t xml:space="preserve">A8.2. Reflexionsaufgabe: Vergleichen Sie die Kompetenzbereiche von </w:t>
      </w:r>
      <w:proofErr w:type="spellStart"/>
      <w:r w:rsidRPr="00A76D40">
        <w:t>DiKoLan</w:t>
      </w:r>
      <w:proofErr w:type="spellEnd"/>
      <w:r w:rsidRPr="00A76D40">
        <w:t xml:space="preserve"> (</w:t>
      </w:r>
      <w:hyperlink r:id="rId5">
        <w:r w:rsidRPr="00A76D40">
          <w:rPr>
            <w:rStyle w:val="Hyperlink"/>
          </w:rPr>
          <w:t>https://dikolan.de/kompetenzen</w:t>
        </w:r>
      </w:hyperlink>
      <w:r w:rsidRPr="00A76D40">
        <w:t xml:space="preserve">) und von </w:t>
      </w:r>
      <w:proofErr w:type="spellStart"/>
      <w:r w:rsidRPr="00A76D40">
        <w:t>DigCompEdu</w:t>
      </w:r>
      <w:proofErr w:type="spellEnd"/>
      <w:r w:rsidRPr="00A76D40">
        <w:t xml:space="preserve"> (</w:t>
      </w:r>
      <w:hyperlink r:id="rId6">
        <w:r w:rsidRPr="00A76D40">
          <w:rPr>
            <w:rStyle w:val="Hyperlink"/>
          </w:rPr>
          <w:t>https://joint-research-centre.ec.europa.eu/system/files/2018-09/digcompedu_leaflet_de_2018-01.pdf</w:t>
        </w:r>
      </w:hyperlink>
      <w:r w:rsidRPr="00A76D40">
        <w:t>). In welchen Kompetenzbereichen konnten Sie schon Erfahrungen sammeln? In welchen dieser Kompetenzen fühlen Sie sich sicher, wo sehen Sie noch Entwicklungsaufgaben in Bezug auf Ihre weitere Professionalisierung zur Chemielehrkraft?</w:t>
      </w:r>
    </w:p>
    <w:p w:rsidR="00A76D40" w:rsidRDefault="00A76D40" w:rsidP="00A76D40"/>
    <w:p w:rsidR="0052049E" w:rsidRDefault="0052049E" w:rsidP="00A3046D">
      <w:pPr>
        <w:rPr>
          <w:i/>
          <w:iCs/>
        </w:rPr>
      </w:pPr>
      <w:r>
        <w:rPr>
          <w:i/>
          <w:iCs/>
        </w:rPr>
        <w:t>Der Kompetenzrahmen</w:t>
      </w:r>
      <w:r w:rsidR="00A3046D">
        <w:rPr>
          <w:i/>
          <w:iCs/>
        </w:rPr>
        <w:t xml:space="preserve"> </w:t>
      </w:r>
      <w:proofErr w:type="spellStart"/>
      <w:r w:rsidR="00A3046D">
        <w:rPr>
          <w:i/>
          <w:iCs/>
        </w:rPr>
        <w:t>DigCompEdu</w:t>
      </w:r>
      <w:proofErr w:type="spellEnd"/>
      <w:r w:rsidR="00A3046D">
        <w:rPr>
          <w:i/>
          <w:iCs/>
        </w:rPr>
        <w:t xml:space="preserve"> </w:t>
      </w:r>
      <w:r>
        <w:rPr>
          <w:i/>
          <w:iCs/>
        </w:rPr>
        <w:t xml:space="preserve">ist deutlich weiter gefasst als </w:t>
      </w:r>
      <w:proofErr w:type="spellStart"/>
      <w:r>
        <w:rPr>
          <w:i/>
          <w:iCs/>
        </w:rPr>
        <w:t>DiKoLan</w:t>
      </w:r>
      <w:proofErr w:type="spellEnd"/>
      <w:r>
        <w:rPr>
          <w:i/>
          <w:iCs/>
        </w:rPr>
        <w:t xml:space="preserve">, da </w:t>
      </w:r>
      <w:proofErr w:type="spellStart"/>
      <w:r>
        <w:rPr>
          <w:i/>
          <w:iCs/>
        </w:rPr>
        <w:t>DigCompEdu</w:t>
      </w:r>
      <w:proofErr w:type="spellEnd"/>
      <w:r>
        <w:rPr>
          <w:i/>
          <w:iCs/>
        </w:rPr>
        <w:t xml:space="preserve"> sich auf digitale Kompetenzen einer Lehrkraft im Gesamtsystem Schule bezieht und damit nicht nur die für die Gestaltung von Unterricht nötigen digitalen Kompetenzen beschreibt. Diese finden sich im Kompetenzbereich 3 (Lehren und Lernen mit digitalen Medien), sind jedoch weniger konkret und spezifisch als im </w:t>
      </w:r>
      <w:proofErr w:type="spellStart"/>
      <w:r>
        <w:rPr>
          <w:i/>
          <w:iCs/>
        </w:rPr>
        <w:t>DiKoLan</w:t>
      </w:r>
      <w:proofErr w:type="spellEnd"/>
      <w:r>
        <w:rPr>
          <w:i/>
          <w:iCs/>
        </w:rPr>
        <w:t xml:space="preserve">-Ansatz. </w:t>
      </w:r>
      <w:proofErr w:type="spellStart"/>
      <w:r w:rsidR="000D6521">
        <w:rPr>
          <w:i/>
          <w:iCs/>
        </w:rPr>
        <w:t>DiKoLan</w:t>
      </w:r>
      <w:proofErr w:type="spellEnd"/>
      <w:r w:rsidR="000D6521">
        <w:rPr>
          <w:i/>
          <w:iCs/>
        </w:rPr>
        <w:t xml:space="preserve"> kann daher als Konkretisierung dieses Kompetenzbereichs angesehen werden.</w:t>
      </w:r>
    </w:p>
    <w:p w:rsidR="00A3046D" w:rsidRPr="00712EAC" w:rsidRDefault="000D6521" w:rsidP="00A3046D">
      <w:pPr>
        <w:rPr>
          <w:i/>
          <w:iCs/>
        </w:rPr>
      </w:pPr>
      <w:r>
        <w:rPr>
          <w:i/>
          <w:iCs/>
        </w:rPr>
        <w:t xml:space="preserve">Zum zweiten Teil der </w:t>
      </w:r>
      <w:r w:rsidR="00A3046D" w:rsidRPr="00712EAC">
        <w:rPr>
          <w:i/>
          <w:iCs/>
        </w:rPr>
        <w:t>Aufgabe können keine Lösungshinweise gegeben werden, da die Aufgabe auf der individuellen Reflexion der Lesenden beruht.</w:t>
      </w:r>
    </w:p>
    <w:p w:rsidR="00A76D40" w:rsidRDefault="00A76D40" w:rsidP="00A76D40">
      <w:pPr>
        <w:pBdr>
          <w:bottom w:val="single" w:sz="4" w:space="1" w:color="auto"/>
        </w:pBdr>
      </w:pPr>
    </w:p>
    <w:p w:rsidR="00A76D40" w:rsidRPr="00A76D40" w:rsidRDefault="00A76D40" w:rsidP="00A76D40"/>
    <w:p w:rsidR="00A76D40" w:rsidRPr="00A76D40" w:rsidRDefault="00A76D40" w:rsidP="00A76D40">
      <w:r w:rsidRPr="00A76D40">
        <w:t>A8.</w:t>
      </w:r>
      <w:r>
        <w:t>3</w:t>
      </w:r>
      <w:r w:rsidRPr="00A76D40">
        <w:t xml:space="preserve"> a) Nennen Sie Beispiele für Medien </w:t>
      </w:r>
      <w:r w:rsidR="00A20FC4">
        <w:t>oder</w:t>
      </w:r>
      <w:r w:rsidRPr="00A76D40">
        <w:t xml:space="preserve"> Lernarrangements, die die in Abb. 8.2 dargestellten Einsatzfelder bedienen.</w:t>
      </w:r>
    </w:p>
    <w:p w:rsidR="00A76D40" w:rsidRDefault="00A76D40" w:rsidP="00A76D40">
      <w:r w:rsidRPr="00A76D40">
        <w:t>b) Nehmen Sie die von Ihnen erstellte Liste mit inhaltsgebundenen und inhaltsoffenen Medien hervor und ordnen Sie den Medien aus den von Ihnen entwickelten Einsatzszenarien die maßgebliche Funktion für den Lernprozess zu. Versuchen Sie auch eine Zuordnung zu den Einsatzfeldern nach Becker et al. (2020).</w:t>
      </w:r>
    </w:p>
    <w:p w:rsidR="00A76D40" w:rsidRDefault="00A76D40" w:rsidP="00A76D40"/>
    <w:p w:rsidR="0011540A" w:rsidRPr="0011540A" w:rsidRDefault="00205F48" w:rsidP="00A76D40">
      <w:pPr>
        <w:pBdr>
          <w:bottom w:val="single" w:sz="4" w:space="1" w:color="auto"/>
        </w:pBdr>
        <w:rPr>
          <w:i/>
          <w:iCs/>
        </w:rPr>
      </w:pPr>
      <w:r w:rsidRPr="0011540A">
        <w:rPr>
          <w:i/>
          <w:iCs/>
        </w:rPr>
        <w:lastRenderedPageBreak/>
        <w:t xml:space="preserve">Zu a) </w:t>
      </w:r>
      <w:r w:rsidR="00AA0ACB">
        <w:rPr>
          <w:i/>
          <w:iCs/>
        </w:rPr>
        <w:t>Es werden Beispiele für analoge und digitale Medien dargestellt.</w:t>
      </w:r>
    </w:p>
    <w:p w:rsidR="00A20FC4" w:rsidRPr="0011540A" w:rsidRDefault="0011540A" w:rsidP="00A76D40">
      <w:pPr>
        <w:pBdr>
          <w:bottom w:val="single" w:sz="4" w:space="1" w:color="auto"/>
        </w:pBdr>
        <w:rPr>
          <w:i/>
          <w:iCs/>
        </w:rPr>
      </w:pPr>
      <w:r w:rsidRPr="0011540A">
        <w:rPr>
          <w:i/>
          <w:iCs/>
        </w:rPr>
        <w:t xml:space="preserve">Dokumentation: Notieren von Arbeitsergebnissen in Arbeitsbögen, der Chemiemappe, der Tafel, dem Whiteboard (jeweils digital oder analog), </w:t>
      </w:r>
      <w:r>
        <w:rPr>
          <w:i/>
          <w:iCs/>
        </w:rPr>
        <w:t>Ablage von Daten und Arbeitsergebnissen</w:t>
      </w:r>
      <w:r w:rsidR="006C7E47">
        <w:rPr>
          <w:i/>
          <w:iCs/>
        </w:rPr>
        <w:t xml:space="preserve"> auf dem eigenen Rechner,</w:t>
      </w:r>
      <w:r>
        <w:rPr>
          <w:i/>
          <w:iCs/>
        </w:rPr>
        <w:t xml:space="preserve"> in </w:t>
      </w:r>
      <w:r w:rsidRPr="0011540A">
        <w:rPr>
          <w:i/>
          <w:iCs/>
        </w:rPr>
        <w:t xml:space="preserve">einem Cloudspeicher </w:t>
      </w:r>
      <w:r w:rsidR="006C7E47">
        <w:rPr>
          <w:i/>
          <w:iCs/>
        </w:rPr>
        <w:t xml:space="preserve">oder einem Lern-Management-System </w:t>
      </w:r>
      <w:r w:rsidRPr="0011540A">
        <w:rPr>
          <w:i/>
          <w:iCs/>
        </w:rPr>
        <w:t xml:space="preserve">(digital) </w:t>
      </w:r>
    </w:p>
    <w:p w:rsidR="0011540A" w:rsidRPr="0011540A" w:rsidRDefault="0011540A" w:rsidP="00A76D40">
      <w:pPr>
        <w:pBdr>
          <w:bottom w:val="single" w:sz="4" w:space="1" w:color="auto"/>
        </w:pBdr>
        <w:rPr>
          <w:i/>
          <w:iCs/>
        </w:rPr>
      </w:pPr>
      <w:r w:rsidRPr="0011540A">
        <w:rPr>
          <w:i/>
          <w:iCs/>
        </w:rPr>
        <w:t>Präsentation:</w:t>
      </w:r>
      <w:r>
        <w:rPr>
          <w:i/>
          <w:iCs/>
        </w:rPr>
        <w:t xml:space="preserve"> Darstellung von Arbeitsergebnissen zur Vermittlung an andere über Plakate, Wandzeitungen (analog) oder digital über Präsentationsprogramme, Lernumgebungen, Erklärvideos</w:t>
      </w:r>
      <w:r w:rsidR="00035993">
        <w:rPr>
          <w:i/>
          <w:iCs/>
        </w:rPr>
        <w:t xml:space="preserve"> (auch </w:t>
      </w:r>
      <w:proofErr w:type="spellStart"/>
      <w:r w:rsidR="00035993">
        <w:rPr>
          <w:i/>
          <w:iCs/>
        </w:rPr>
        <w:t>Stop</w:t>
      </w:r>
      <w:proofErr w:type="spellEnd"/>
      <w:r w:rsidR="00035993">
        <w:rPr>
          <w:i/>
          <w:iCs/>
        </w:rPr>
        <w:t>-Motion-Videos)</w:t>
      </w:r>
      <w:r>
        <w:rPr>
          <w:i/>
          <w:iCs/>
        </w:rPr>
        <w:t>, Podcast</w:t>
      </w:r>
      <w:r w:rsidR="00035993">
        <w:rPr>
          <w:i/>
          <w:iCs/>
        </w:rPr>
        <w:t>s</w:t>
      </w:r>
    </w:p>
    <w:p w:rsidR="00A20FC4" w:rsidRPr="0011540A" w:rsidRDefault="0011540A" w:rsidP="00A76D40">
      <w:pPr>
        <w:pBdr>
          <w:bottom w:val="single" w:sz="4" w:space="1" w:color="auto"/>
        </w:pBdr>
        <w:rPr>
          <w:i/>
          <w:iCs/>
        </w:rPr>
      </w:pPr>
      <w:r w:rsidRPr="0011540A">
        <w:rPr>
          <w:i/>
          <w:iCs/>
        </w:rPr>
        <w:t>Kommunikation/Kollaboration:</w:t>
      </w:r>
      <w:r>
        <w:rPr>
          <w:i/>
          <w:iCs/>
        </w:rPr>
        <w:t xml:space="preserve"> </w:t>
      </w:r>
      <w:r w:rsidR="006C7E47">
        <w:rPr>
          <w:i/>
          <w:iCs/>
        </w:rPr>
        <w:t xml:space="preserve">Leporello auf Papier arbeitsteilig erstellen (z. B. zu technischen Prozessen, Abläufen auf der Teilchenebene; vgl. Abb. 8.22), </w:t>
      </w:r>
      <w:r w:rsidR="00AA0ACB">
        <w:rPr>
          <w:i/>
          <w:iCs/>
        </w:rPr>
        <w:t xml:space="preserve">Anfertigung eines Flussdiagramms zu einem technischen Prozess, </w:t>
      </w:r>
      <w:r w:rsidR="006C7E47">
        <w:rPr>
          <w:i/>
          <w:iCs/>
        </w:rPr>
        <w:t xml:space="preserve">ein angefangenes Versuchsprotokoll fortführen, Erstellen eines Wikis durch die </w:t>
      </w:r>
      <w:proofErr w:type="spellStart"/>
      <w:r w:rsidR="006C7E47">
        <w:rPr>
          <w:i/>
          <w:iCs/>
        </w:rPr>
        <w:t>SuS</w:t>
      </w:r>
      <w:proofErr w:type="spellEnd"/>
      <w:r w:rsidR="006C7E47">
        <w:rPr>
          <w:i/>
          <w:iCs/>
        </w:rPr>
        <w:t xml:space="preserve">, Einsatz von </w:t>
      </w:r>
      <w:proofErr w:type="spellStart"/>
      <w:r w:rsidR="006C7E47">
        <w:rPr>
          <w:i/>
          <w:iCs/>
        </w:rPr>
        <w:t>Etherpads</w:t>
      </w:r>
      <w:proofErr w:type="spellEnd"/>
      <w:r w:rsidR="006C7E47">
        <w:rPr>
          <w:i/>
          <w:iCs/>
        </w:rPr>
        <w:t xml:space="preserve"> und </w:t>
      </w:r>
      <w:r w:rsidR="00A20C2F">
        <w:rPr>
          <w:i/>
          <w:iCs/>
        </w:rPr>
        <w:t>Pinnwand-Apps zum Sammeln und Bündeln von Arbeitsergebnissen, arbeitsteiliges Entwickeln einer Concept-</w:t>
      </w:r>
      <w:proofErr w:type="spellStart"/>
      <w:r w:rsidR="00A20C2F">
        <w:rPr>
          <w:i/>
          <w:iCs/>
        </w:rPr>
        <w:t>Map</w:t>
      </w:r>
      <w:proofErr w:type="spellEnd"/>
      <w:r w:rsidR="00A20C2F">
        <w:rPr>
          <w:i/>
          <w:iCs/>
        </w:rPr>
        <w:t xml:space="preserve"> mit </w:t>
      </w:r>
      <w:proofErr w:type="spellStart"/>
      <w:r w:rsidR="00A20C2F">
        <w:rPr>
          <w:i/>
          <w:iCs/>
        </w:rPr>
        <w:t>cmap</w:t>
      </w:r>
      <w:proofErr w:type="spellEnd"/>
      <w:r w:rsidR="00A20C2F">
        <w:rPr>
          <w:i/>
          <w:iCs/>
        </w:rPr>
        <w:t>-Tools</w:t>
      </w:r>
    </w:p>
    <w:p w:rsidR="0011540A" w:rsidRPr="0011540A" w:rsidRDefault="0011540A" w:rsidP="00A76D40">
      <w:pPr>
        <w:pBdr>
          <w:bottom w:val="single" w:sz="4" w:space="1" w:color="auto"/>
        </w:pBdr>
        <w:rPr>
          <w:i/>
          <w:iCs/>
        </w:rPr>
      </w:pPr>
      <w:r w:rsidRPr="0011540A">
        <w:rPr>
          <w:i/>
          <w:iCs/>
        </w:rPr>
        <w:t>Recherche und Bewertung:</w:t>
      </w:r>
      <w:r w:rsidR="00A20C2F">
        <w:rPr>
          <w:i/>
          <w:iCs/>
        </w:rPr>
        <w:t xml:space="preserve"> Internet-Recherche zu einem Thema durchführen (z. B. Typen und Funktionsweise von Brennstoffzellen) und Bewertung der Validität von Quellen, Chatbots als Gesprächspartner zur Problemlösung einsetzen, Nutzung einer (online-)Bibliothek</w:t>
      </w:r>
    </w:p>
    <w:p w:rsidR="0011540A" w:rsidRPr="0011540A" w:rsidRDefault="0011540A" w:rsidP="00A76D40">
      <w:pPr>
        <w:pBdr>
          <w:bottom w:val="single" w:sz="4" w:space="1" w:color="auto"/>
        </w:pBdr>
        <w:rPr>
          <w:i/>
          <w:iCs/>
        </w:rPr>
      </w:pPr>
      <w:r w:rsidRPr="0011540A">
        <w:rPr>
          <w:i/>
          <w:iCs/>
        </w:rPr>
        <w:t>Messwert-/Datenerfassung:</w:t>
      </w:r>
      <w:r w:rsidR="00A20C2F">
        <w:rPr>
          <w:i/>
          <w:iCs/>
        </w:rPr>
        <w:t xml:space="preserve"> Datenerfassung über nicht </w:t>
      </w:r>
      <w:proofErr w:type="spellStart"/>
      <w:r w:rsidR="00A20C2F">
        <w:rPr>
          <w:i/>
          <w:iCs/>
        </w:rPr>
        <w:t>loggergestützte</w:t>
      </w:r>
      <w:proofErr w:type="spellEnd"/>
      <w:r w:rsidR="00A20C2F">
        <w:rPr>
          <w:i/>
          <w:iCs/>
        </w:rPr>
        <w:t xml:space="preserve"> Messgeräte (Thermometer, Leitfähigkeitsmessgerät, pH-Meter, Uhr) und Übertragung der analogen Daten in eine geeignete Kurvendarstellung (z. B. </w:t>
      </w:r>
      <w:r w:rsidR="00AA0ACB">
        <w:rPr>
          <w:i/>
          <w:iCs/>
        </w:rPr>
        <w:t>Temperatur-Zeit-Diagramm zur Lösungswärme von Salzen), Einsatz von Datenloggern incl. automatisierter Diagrammerstellung, Einsatz von CAS oder GTR, Smartphone/Tablet als Kamera (Zeitlupe, Zeitraffer), Wärmebildkamera ...</w:t>
      </w:r>
    </w:p>
    <w:p w:rsidR="0011540A" w:rsidRPr="0011540A" w:rsidRDefault="0011540A" w:rsidP="00A76D40">
      <w:pPr>
        <w:pBdr>
          <w:bottom w:val="single" w:sz="4" w:space="1" w:color="auto"/>
        </w:pBdr>
        <w:rPr>
          <w:i/>
          <w:iCs/>
        </w:rPr>
      </w:pPr>
      <w:r w:rsidRPr="0011540A">
        <w:rPr>
          <w:i/>
          <w:iCs/>
        </w:rPr>
        <w:t>Datenverarbeitung:</w:t>
      </w:r>
      <w:r w:rsidR="00AA0ACB">
        <w:rPr>
          <w:i/>
          <w:iCs/>
        </w:rPr>
        <w:t xml:space="preserve"> Analyse von Diagrammen (z. B. charakteristische Punkte in Titrationskurven oder UV/</w:t>
      </w:r>
      <w:proofErr w:type="spellStart"/>
      <w:r w:rsidR="00AA0ACB">
        <w:rPr>
          <w:i/>
          <w:iCs/>
        </w:rPr>
        <w:t>vis</w:t>
      </w:r>
      <w:proofErr w:type="spellEnd"/>
      <w:r w:rsidR="00AA0ACB">
        <w:rPr>
          <w:i/>
          <w:iCs/>
        </w:rPr>
        <w:t xml:space="preserve">-Spektren oder Berechnung der </w:t>
      </w:r>
      <w:proofErr w:type="spellStart"/>
      <w:r w:rsidR="00AA0ACB">
        <w:rPr>
          <w:i/>
          <w:iCs/>
        </w:rPr>
        <w:t>Durchschnittsgeschw</w:t>
      </w:r>
      <w:proofErr w:type="spellEnd"/>
      <w:r w:rsidR="00AA0ACB">
        <w:rPr>
          <w:i/>
          <w:iCs/>
        </w:rPr>
        <w:t>. aus Konzentrations-Zeit-Diagrammen), Bildauswertung/Bildbeschreibung, Videoanalyse</w:t>
      </w:r>
    </w:p>
    <w:p w:rsidR="0011540A" w:rsidRPr="006D283A" w:rsidRDefault="0011540A" w:rsidP="00A76D40">
      <w:pPr>
        <w:pBdr>
          <w:bottom w:val="single" w:sz="4" w:space="1" w:color="auto"/>
        </w:pBdr>
        <w:rPr>
          <w:i/>
          <w:iCs/>
        </w:rPr>
      </w:pPr>
      <w:r w:rsidRPr="0011540A">
        <w:rPr>
          <w:i/>
          <w:iCs/>
        </w:rPr>
        <w:t>Simulation und Modellierung</w:t>
      </w:r>
      <w:r w:rsidR="00AA0ACB">
        <w:rPr>
          <w:i/>
          <w:iCs/>
        </w:rPr>
        <w:t>: Planspiel (analog)</w:t>
      </w:r>
      <w:r w:rsidR="006D283A">
        <w:rPr>
          <w:i/>
          <w:iCs/>
        </w:rPr>
        <w:t xml:space="preserve">, Nutzung digitaler Simulationen (z. B. </w:t>
      </w:r>
      <w:hyperlink r:id="rId7" w:history="1">
        <w:r w:rsidR="006D283A" w:rsidRPr="006D283A">
          <w:rPr>
            <w:rStyle w:val="Hyperlink"/>
            <w:i/>
            <w:iCs/>
          </w:rPr>
          <w:t>https://phet.colorado.edu/de/simulations/filter?type=html</w:t>
        </w:r>
      </w:hyperlink>
      <w:r w:rsidR="006D283A" w:rsidRPr="006D283A">
        <w:rPr>
          <w:i/>
          <w:iCs/>
        </w:rPr>
        <w:t>), Knete und</w:t>
      </w:r>
      <w:r w:rsidR="006D283A">
        <w:rPr>
          <w:i/>
          <w:iCs/>
        </w:rPr>
        <w:t xml:space="preserve"> Zahnstocher zur Ableitung der räumlichen Struktur von Molekülen, Einsatz eines Molekülbaukastens (z. B. </w:t>
      </w:r>
      <w:proofErr w:type="spellStart"/>
      <w:r w:rsidR="006D283A">
        <w:rPr>
          <w:i/>
          <w:iCs/>
        </w:rPr>
        <w:t>Mekruphy</w:t>
      </w:r>
      <w:proofErr w:type="spellEnd"/>
      <w:r w:rsidR="006D283A">
        <w:rPr>
          <w:i/>
          <w:iCs/>
        </w:rPr>
        <w:t xml:space="preserve"> Chemie 3) zur Visualisierung der Protolyse oder zur Struktur von Eis (H-Brücken), Darstellung von digitalen Molekülmodellen (z. B. </w:t>
      </w:r>
      <w:proofErr w:type="spellStart"/>
      <w:r w:rsidR="006D283A">
        <w:rPr>
          <w:i/>
          <w:iCs/>
        </w:rPr>
        <w:t>Jmol</w:t>
      </w:r>
      <w:proofErr w:type="spellEnd"/>
      <w:r w:rsidR="006D283A">
        <w:rPr>
          <w:i/>
          <w:iCs/>
        </w:rPr>
        <w:t xml:space="preserve">), Einsatz von Elektronendichteverteilungen organischer Moleküle (z. B. App </w:t>
      </w:r>
      <w:proofErr w:type="spellStart"/>
      <w:r w:rsidR="006D283A">
        <w:rPr>
          <w:i/>
          <w:iCs/>
        </w:rPr>
        <w:t>Avogado</w:t>
      </w:r>
      <w:proofErr w:type="spellEnd"/>
      <w:r w:rsidR="006D283A">
        <w:rPr>
          <w:i/>
          <w:iCs/>
        </w:rPr>
        <w:t>)</w:t>
      </w:r>
    </w:p>
    <w:p w:rsidR="00796069" w:rsidRPr="008C721F" w:rsidRDefault="00796069" w:rsidP="00A76D40">
      <w:pPr>
        <w:pBdr>
          <w:bottom w:val="single" w:sz="4" w:space="1" w:color="auto"/>
        </w:pBdr>
        <w:rPr>
          <w:i/>
          <w:iCs/>
        </w:rPr>
      </w:pPr>
    </w:p>
    <w:p w:rsidR="008C721F" w:rsidRDefault="006D283A" w:rsidP="00A76D40">
      <w:pPr>
        <w:pBdr>
          <w:bottom w:val="single" w:sz="4" w:space="1" w:color="auto"/>
        </w:pBdr>
        <w:rPr>
          <w:i/>
          <w:iCs/>
        </w:rPr>
      </w:pPr>
      <w:r w:rsidRPr="008C721F">
        <w:rPr>
          <w:i/>
          <w:iCs/>
        </w:rPr>
        <w:t>b) Di</w:t>
      </w:r>
      <w:r w:rsidR="008C721F" w:rsidRPr="008C721F">
        <w:rPr>
          <w:i/>
          <w:iCs/>
        </w:rPr>
        <w:t xml:space="preserve">e Lösung zu diesem Aufgabenteil hängt von der angefertigten Liste aus A8.1 ab. </w:t>
      </w:r>
      <w:r w:rsidR="008C721F">
        <w:rPr>
          <w:i/>
          <w:iCs/>
        </w:rPr>
        <w:t>Lösung für je ein Beispiel:</w:t>
      </w:r>
    </w:p>
    <w:p w:rsidR="008C721F" w:rsidRDefault="008C721F" w:rsidP="00A76D40">
      <w:pPr>
        <w:pBdr>
          <w:bottom w:val="single" w:sz="4" w:space="1" w:color="auto"/>
        </w:pBdr>
        <w:rPr>
          <w:i/>
          <w:iCs/>
        </w:rPr>
      </w:pPr>
      <w:r>
        <w:rPr>
          <w:i/>
          <w:iCs/>
        </w:rPr>
        <w:t>Molekülbaukasten als inhaltsgebundenes Medium: Entwicklung der zwei möglichen isomeren Strukturen zur Molekülformel C</w:t>
      </w:r>
      <w:r w:rsidRPr="008C721F">
        <w:rPr>
          <w:i/>
          <w:iCs/>
          <w:vertAlign w:val="subscript"/>
        </w:rPr>
        <w:t>2</w:t>
      </w:r>
      <w:r>
        <w:rPr>
          <w:i/>
          <w:iCs/>
        </w:rPr>
        <w:t>H</w:t>
      </w:r>
      <w:r w:rsidRPr="008C721F">
        <w:rPr>
          <w:i/>
          <w:iCs/>
          <w:vertAlign w:val="subscript"/>
        </w:rPr>
        <w:t>6</w:t>
      </w:r>
      <w:r>
        <w:rPr>
          <w:i/>
          <w:iCs/>
        </w:rPr>
        <w:t xml:space="preserve">O mithilfe des Molekülbaukastens; die Lernenden leiten zwei Möglichkeiten ab (Molekülmodelle </w:t>
      </w:r>
      <w:proofErr w:type="gramStart"/>
      <w:r>
        <w:rPr>
          <w:i/>
          <w:iCs/>
        </w:rPr>
        <w:t>zu Dimethylether</w:t>
      </w:r>
      <w:proofErr w:type="gramEnd"/>
      <w:r>
        <w:rPr>
          <w:i/>
          <w:iCs/>
        </w:rPr>
        <w:t xml:space="preserve"> und Ethanol) und leiten daraus die Frage ab, welches der Strukturen der des Ethanol-Moleküls entspricht</w:t>
      </w:r>
      <w:r w:rsidR="00035993">
        <w:rPr>
          <w:i/>
          <w:iCs/>
        </w:rPr>
        <w:t xml:space="preserve"> &gt; Kompetenzbereich Modellieren</w:t>
      </w:r>
    </w:p>
    <w:p w:rsidR="008C721F" w:rsidRDefault="008C721F" w:rsidP="00A76D40">
      <w:pPr>
        <w:pBdr>
          <w:bottom w:val="single" w:sz="4" w:space="1" w:color="auto"/>
        </w:pBdr>
        <w:rPr>
          <w:i/>
          <w:iCs/>
        </w:rPr>
      </w:pPr>
      <w:r>
        <w:rPr>
          <w:i/>
          <w:iCs/>
        </w:rPr>
        <w:t xml:space="preserve">Klemmbausteine als inhaltsoffene Medien: Lernende visualisieren mit den Bausteinen die Formeln für einfache Molekülverbindungen und entwickeln daraus die Formelschreibweise für das jeweilige Molekül; dabei werden immer gleich große Bausteine verwendet, um nicht der Gefahr der Nutzung eines Wertigkeitskonzepts </w:t>
      </w:r>
      <w:r w:rsidR="00035993">
        <w:rPr>
          <w:i/>
          <w:iCs/>
        </w:rPr>
        <w:t>zu unterliegen &gt; Kompetenzbereiche Modellieren und Kommunikation</w:t>
      </w:r>
    </w:p>
    <w:p w:rsidR="00796069" w:rsidRDefault="00035993" w:rsidP="00A76D40">
      <w:pPr>
        <w:pBdr>
          <w:bottom w:val="single" w:sz="4" w:space="1" w:color="auto"/>
        </w:pBdr>
        <w:rPr>
          <w:i/>
          <w:iCs/>
        </w:rPr>
      </w:pPr>
      <w:r>
        <w:rPr>
          <w:i/>
          <w:iCs/>
        </w:rPr>
        <w:t>Tablet der Lernenden als technisches Gerät: Lernende nutzen die Kamerafunktion zur Erstellung eines Slow-Motion-Filmes zum Versuch „Flammensprung“ &gt; Kompetenzbereiche Präsentation und Datenerfassung</w:t>
      </w:r>
    </w:p>
    <w:p w:rsidR="00035993" w:rsidRDefault="00035993" w:rsidP="00A76D40">
      <w:pPr>
        <w:pBdr>
          <w:bottom w:val="single" w:sz="4" w:space="1" w:color="auto"/>
        </w:pBdr>
        <w:rPr>
          <w:i/>
          <w:iCs/>
        </w:rPr>
      </w:pPr>
      <w:r>
        <w:rPr>
          <w:i/>
          <w:iCs/>
        </w:rPr>
        <w:lastRenderedPageBreak/>
        <w:t>Als Fazit soll deutlich werden, dass ein und dasselbe Medium je nach didaktischer Zielsetzung in verschiedenen Lehr-Lernszenarien und an unterschiedlichen Stellen des Lehr-Lernprozesses eingesetzt werden kann und damit unterschiedliche Kompetenzbereiche abdeckt.</w:t>
      </w:r>
    </w:p>
    <w:p w:rsidR="00035993" w:rsidRPr="00035993" w:rsidRDefault="00035993" w:rsidP="00A76D40">
      <w:pPr>
        <w:pBdr>
          <w:bottom w:val="single" w:sz="4" w:space="1" w:color="auto"/>
        </w:pBdr>
        <w:rPr>
          <w:i/>
          <w:iCs/>
        </w:rPr>
      </w:pPr>
    </w:p>
    <w:p w:rsidR="00A76D40" w:rsidRPr="006D283A" w:rsidRDefault="00A76D40" w:rsidP="00A76D40"/>
    <w:p w:rsidR="00A76D40" w:rsidRDefault="00A76D40" w:rsidP="00A76D40">
      <w:r w:rsidRPr="00A76D40">
        <w:t xml:space="preserve">A8.4. Zur Vertiefung: In dem verlinkten Video (Link: </w:t>
      </w:r>
      <w:hyperlink r:id="rId8">
        <w:r w:rsidRPr="00A76D40">
          <w:rPr>
            <w:rStyle w:val="Hyperlink"/>
          </w:rPr>
          <w:t>https://sn.pub/pyihe6</w:t>
        </w:r>
      </w:hyperlink>
      <w:r w:rsidRPr="00A76D40">
        <w:t>) wird eine andersartige Mediendefinition vorgestellt. Diskutieren Sie die dort vorgestellte Sichtweise mit der in diesem Lehrbuch vermittelten Werkzeugmetapher mit Blick auf die konkrete Funktion von Medien im Unterricht.</w:t>
      </w:r>
    </w:p>
    <w:p w:rsidR="00A76D40" w:rsidRDefault="00A76D40"/>
    <w:p w:rsidR="00D86140" w:rsidRDefault="00D86140">
      <w:pPr>
        <w:rPr>
          <w:i/>
          <w:iCs/>
        </w:rPr>
      </w:pPr>
      <w:r w:rsidRPr="00D86140">
        <w:rPr>
          <w:i/>
          <w:iCs/>
        </w:rPr>
        <w:t>Hier werden nur Diskussionsansätze vorgestellt, da die Diskussion und Argumentation individuell geführt wird und es keine einheitliche Lösung gibt.</w:t>
      </w:r>
    </w:p>
    <w:p w:rsidR="00D86140" w:rsidRDefault="00D86140" w:rsidP="00D86140">
      <w:pPr>
        <w:pStyle w:val="Listenabsatz"/>
        <w:numPr>
          <w:ilvl w:val="0"/>
          <w:numId w:val="6"/>
        </w:numPr>
        <w:rPr>
          <w:i/>
          <w:iCs/>
        </w:rPr>
      </w:pPr>
      <w:r>
        <w:rPr>
          <w:i/>
          <w:iCs/>
        </w:rPr>
        <w:t xml:space="preserve">Die </w:t>
      </w:r>
      <w:r w:rsidR="00796069">
        <w:rPr>
          <w:i/>
          <w:iCs/>
        </w:rPr>
        <w:t xml:space="preserve">im Video dargestellten </w:t>
      </w:r>
      <w:r>
        <w:rPr>
          <w:i/>
          <w:iCs/>
        </w:rPr>
        <w:t>beiden „</w:t>
      </w:r>
      <w:r w:rsidR="00796069">
        <w:rPr>
          <w:i/>
          <w:iCs/>
        </w:rPr>
        <w:t>Medien</w:t>
      </w:r>
      <w:r>
        <w:rPr>
          <w:i/>
          <w:iCs/>
        </w:rPr>
        <w:t xml:space="preserve">“ </w:t>
      </w:r>
      <w:r w:rsidR="00796069">
        <w:rPr>
          <w:i/>
          <w:iCs/>
        </w:rPr>
        <w:t>des Pinguins symbolisieren das Leben in einer digital geprägten Welt, in der es gleichsam analoge wie digitale Medien gibt. Der Blick auf Medien ist eher im Sinne einer Digitalität zu verstehen. Unterrichtsmedien bilden einen Teil unserer Medienwelt.</w:t>
      </w:r>
    </w:p>
    <w:p w:rsidR="00796069" w:rsidRDefault="00796069" w:rsidP="00D86140">
      <w:pPr>
        <w:pStyle w:val="Listenabsatz"/>
        <w:numPr>
          <w:ilvl w:val="0"/>
          <w:numId w:val="6"/>
        </w:numPr>
        <w:rPr>
          <w:i/>
          <w:iCs/>
        </w:rPr>
      </w:pPr>
      <w:r>
        <w:rPr>
          <w:i/>
          <w:iCs/>
        </w:rPr>
        <w:t xml:space="preserve">Generell sind Unterrichtsmedien, ob analog oder digital, Lernwerkzeuge und Informationsvermittler, haben eine klare didaktische Funktion im Unterricht. Damit sind Unterrichtsmedien sehr wohl Werkzeuge, da mit diesen </w:t>
      </w:r>
      <w:r w:rsidR="00612A38">
        <w:rPr>
          <w:i/>
          <w:iCs/>
        </w:rPr>
        <w:t xml:space="preserve">Instrumenten </w:t>
      </w:r>
      <w:r w:rsidR="00612A38" w:rsidRPr="00612A38">
        <w:rPr>
          <w:i/>
          <w:iCs/>
        </w:rPr>
        <w:t xml:space="preserve">zielbestimmt </w:t>
      </w:r>
      <w:r w:rsidR="00612A38">
        <w:rPr>
          <w:i/>
          <w:iCs/>
        </w:rPr>
        <w:t xml:space="preserve">Lehr-Lernprozesse angeregt und gestaltet werden und daher </w:t>
      </w:r>
      <w:r w:rsidR="00612A38" w:rsidRPr="00612A38">
        <w:rPr>
          <w:i/>
          <w:iCs/>
        </w:rPr>
        <w:t>mit einer speziellen Vermittlungs- oder Kompetenzentwicklungsabsicht verbunden sind</w:t>
      </w:r>
      <w:r w:rsidR="00612A38">
        <w:rPr>
          <w:i/>
          <w:iCs/>
        </w:rPr>
        <w:t xml:space="preserve">. </w:t>
      </w:r>
      <w:r w:rsidR="00694FBB">
        <w:rPr>
          <w:i/>
          <w:iCs/>
        </w:rPr>
        <w:t>D</w:t>
      </w:r>
      <w:r w:rsidR="00612A38">
        <w:rPr>
          <w:i/>
          <w:iCs/>
        </w:rPr>
        <w:t xml:space="preserve">ie im Video kritisierte </w:t>
      </w:r>
      <w:r w:rsidR="00694FBB">
        <w:rPr>
          <w:i/>
          <w:iCs/>
        </w:rPr>
        <w:t>Verwendung</w:t>
      </w:r>
      <w:r w:rsidR="00612A38">
        <w:rPr>
          <w:i/>
          <w:iCs/>
        </w:rPr>
        <w:t xml:space="preserve"> der Werkzeugmetapher ist damit für Unterrichtsmedien sehr wohl tragfähig.</w:t>
      </w:r>
    </w:p>
    <w:p w:rsidR="00D86140" w:rsidRPr="00205F48" w:rsidRDefault="00612A38" w:rsidP="00205F48">
      <w:pPr>
        <w:pStyle w:val="Listenabsatz"/>
        <w:numPr>
          <w:ilvl w:val="0"/>
          <w:numId w:val="6"/>
        </w:numPr>
        <w:rPr>
          <w:i/>
          <w:iCs/>
        </w:rPr>
      </w:pPr>
      <w:r>
        <w:rPr>
          <w:i/>
          <w:iCs/>
        </w:rPr>
        <w:t xml:space="preserve">Die Auswahlentscheidung für oder gegen ein Medium erfolgt auf der Basis einer definierten Zielfestschreibung und damit unter annähernd vergleichbaren Bedingungen. </w:t>
      </w:r>
      <w:r w:rsidR="00205F48">
        <w:rPr>
          <w:i/>
          <w:iCs/>
        </w:rPr>
        <w:t>Ein Unterrichtsmedium kann gegenüber einem anderen Unterrichtsmedium dabei einen Mehrwert aufweisen, beispielsweise, weil es hilft, die Lehr-Lernprozesse effektiver zu gestalten oder ein Austausch von Informationen oder Arbeitsergebnissen einfacher erfolgen kann.</w:t>
      </w:r>
    </w:p>
    <w:p w:rsidR="00A76D40" w:rsidRDefault="00A76D40" w:rsidP="00A76D40">
      <w:pPr>
        <w:pBdr>
          <w:bottom w:val="single" w:sz="4" w:space="1" w:color="auto"/>
        </w:pBdr>
      </w:pPr>
    </w:p>
    <w:p w:rsidR="00A76D40" w:rsidRDefault="00A76D40"/>
    <w:p w:rsidR="00A76D40" w:rsidRDefault="00A76D40">
      <w:r w:rsidRPr="00A76D40">
        <w:t xml:space="preserve">A8.5. Nehmen Sie ein Universitätslehrbuch und ein Chemie-Schulbuch zur Hand und wählen Sie ein in beiden Werken vorkommendes Thema (z. B. Atombau oder Säuren und Basen). Analysieren Sie zwei in etwa themengleiche Doppelseiten auf die in Tabelle 1 dargestellten Gestaltungsprinzipien. Entwickeln Sie Vorschläge, wie die </w:t>
      </w:r>
      <w:proofErr w:type="spellStart"/>
      <w:r w:rsidRPr="00A76D40">
        <w:t>multicodalen</w:t>
      </w:r>
      <w:proofErr w:type="spellEnd"/>
      <w:r w:rsidRPr="00A76D40">
        <w:t xml:space="preserve"> Repräsentationen optimiert werden könnten.</w:t>
      </w:r>
    </w:p>
    <w:p w:rsidR="00A76D40" w:rsidRDefault="00A76D40"/>
    <w:p w:rsidR="00CC62A6" w:rsidRPr="004F3A8B" w:rsidRDefault="004F3A8B">
      <w:pPr>
        <w:rPr>
          <w:i/>
          <w:iCs/>
        </w:rPr>
      </w:pPr>
      <w:r w:rsidRPr="004F3A8B">
        <w:rPr>
          <w:i/>
          <w:iCs/>
        </w:rPr>
        <w:t>Beispiel Unilehrbuch: Binnewies et al. (2016). Allgemeine und Anorganische Chemie. 3. Auflage, Heidelberg: Springer, Seiten 250-253, Thema: Einstieg Säuren und Basen</w:t>
      </w:r>
    </w:p>
    <w:p w:rsidR="004F3A8B" w:rsidRDefault="004F3A8B">
      <w:pPr>
        <w:rPr>
          <w:i/>
          <w:iCs/>
        </w:rPr>
      </w:pPr>
      <w:r>
        <w:rPr>
          <w:i/>
          <w:iCs/>
        </w:rPr>
        <w:t>Beispiel Chemie-Schulbuch: Menze et al. (2023). Chemie heute SII für NRW. Braunschweig: Westermann, Seiten 152-155, Thema: Einstieg Säuren und Basen</w:t>
      </w:r>
    </w:p>
    <w:p w:rsidR="004F3A8B" w:rsidRDefault="004F3A8B">
      <w:pPr>
        <w:rPr>
          <w:i/>
          <w:iCs/>
        </w:rPr>
      </w:pPr>
    </w:p>
    <w:tbl>
      <w:tblPr>
        <w:tblStyle w:val="Tabellenraster"/>
        <w:tblW w:w="0" w:type="auto"/>
        <w:tblLook w:val="04A0" w:firstRow="1" w:lastRow="0" w:firstColumn="1" w:lastColumn="0" w:noHBand="0" w:noVBand="1"/>
      </w:tblPr>
      <w:tblGrid>
        <w:gridCol w:w="2327"/>
        <w:gridCol w:w="3416"/>
        <w:gridCol w:w="3313"/>
      </w:tblGrid>
      <w:tr w:rsidR="00E919C7" w:rsidTr="009A3FD8">
        <w:tc>
          <w:tcPr>
            <w:tcW w:w="0" w:type="auto"/>
          </w:tcPr>
          <w:p w:rsidR="004F3A8B" w:rsidRDefault="004F3A8B">
            <w:pPr>
              <w:rPr>
                <w:i/>
                <w:iCs/>
              </w:rPr>
            </w:pPr>
            <w:r>
              <w:rPr>
                <w:i/>
                <w:iCs/>
              </w:rPr>
              <w:t>Gestaltungsprinzip</w:t>
            </w:r>
          </w:p>
        </w:tc>
        <w:tc>
          <w:tcPr>
            <w:tcW w:w="0" w:type="auto"/>
          </w:tcPr>
          <w:p w:rsidR="004F3A8B" w:rsidRDefault="004F3A8B">
            <w:pPr>
              <w:rPr>
                <w:i/>
                <w:iCs/>
              </w:rPr>
            </w:pPr>
            <w:r>
              <w:rPr>
                <w:i/>
                <w:iCs/>
              </w:rPr>
              <w:t>Unilehrbuch</w:t>
            </w:r>
          </w:p>
        </w:tc>
        <w:tc>
          <w:tcPr>
            <w:tcW w:w="0" w:type="auto"/>
          </w:tcPr>
          <w:p w:rsidR="004F3A8B" w:rsidRDefault="004F3A8B">
            <w:pPr>
              <w:rPr>
                <w:i/>
                <w:iCs/>
              </w:rPr>
            </w:pPr>
            <w:r>
              <w:rPr>
                <w:i/>
                <w:iCs/>
              </w:rPr>
              <w:t>Chemie-Schulbuch</w:t>
            </w:r>
          </w:p>
        </w:tc>
      </w:tr>
      <w:tr w:rsidR="00E919C7" w:rsidTr="009A3FD8">
        <w:tc>
          <w:tcPr>
            <w:tcW w:w="0" w:type="auto"/>
          </w:tcPr>
          <w:p w:rsidR="004F3A8B" w:rsidRDefault="004F3A8B">
            <w:pPr>
              <w:rPr>
                <w:i/>
                <w:iCs/>
              </w:rPr>
            </w:pPr>
            <w:r>
              <w:rPr>
                <w:i/>
                <w:iCs/>
              </w:rPr>
              <w:t>Multimediaprinzip</w:t>
            </w:r>
          </w:p>
        </w:tc>
        <w:tc>
          <w:tcPr>
            <w:tcW w:w="0" w:type="auto"/>
          </w:tcPr>
          <w:p w:rsidR="004F3A8B" w:rsidRDefault="004F3A8B">
            <w:pPr>
              <w:rPr>
                <w:i/>
                <w:iCs/>
              </w:rPr>
            </w:pPr>
            <w:r>
              <w:rPr>
                <w:i/>
                <w:iCs/>
              </w:rPr>
              <w:t xml:space="preserve">Text und Bild vorhanden, </w:t>
            </w:r>
            <w:r w:rsidR="00FB0ED0">
              <w:rPr>
                <w:i/>
                <w:iCs/>
              </w:rPr>
              <w:t>nur zwei Bilder auf den 4 Seiten zzgl. einer Tabelle zu pKs-Werten. Bilder sind Formeldarstellungen.</w:t>
            </w:r>
          </w:p>
        </w:tc>
        <w:tc>
          <w:tcPr>
            <w:tcW w:w="0" w:type="auto"/>
          </w:tcPr>
          <w:p w:rsidR="004F3A8B" w:rsidRDefault="004F3A8B">
            <w:pPr>
              <w:rPr>
                <w:i/>
                <w:iCs/>
              </w:rPr>
            </w:pPr>
            <w:r>
              <w:rPr>
                <w:i/>
                <w:iCs/>
              </w:rPr>
              <w:t>Text und Bild vorhanden</w:t>
            </w:r>
            <w:r w:rsidR="00FB0ED0">
              <w:rPr>
                <w:i/>
                <w:iCs/>
              </w:rPr>
              <w:t>, 5 Bilder zzgl. einer Tabelle, weitere Icons vorhanden</w:t>
            </w:r>
          </w:p>
        </w:tc>
      </w:tr>
      <w:tr w:rsidR="00E919C7" w:rsidTr="009A3FD8">
        <w:tc>
          <w:tcPr>
            <w:tcW w:w="0" w:type="auto"/>
          </w:tcPr>
          <w:p w:rsidR="004F3A8B" w:rsidRDefault="004F3A8B">
            <w:pPr>
              <w:rPr>
                <w:i/>
                <w:iCs/>
              </w:rPr>
            </w:pPr>
            <w:r>
              <w:rPr>
                <w:i/>
                <w:iCs/>
              </w:rPr>
              <w:t>Modalitätsprinzip</w:t>
            </w:r>
          </w:p>
        </w:tc>
        <w:tc>
          <w:tcPr>
            <w:tcW w:w="0" w:type="auto"/>
          </w:tcPr>
          <w:p w:rsidR="004F3A8B" w:rsidRDefault="00FB0ED0">
            <w:pPr>
              <w:rPr>
                <w:i/>
                <w:iCs/>
              </w:rPr>
            </w:pPr>
            <w:r>
              <w:rPr>
                <w:i/>
                <w:iCs/>
              </w:rPr>
              <w:t>Keine Bild-Ton-Kombination</w:t>
            </w:r>
          </w:p>
        </w:tc>
        <w:tc>
          <w:tcPr>
            <w:tcW w:w="0" w:type="auto"/>
          </w:tcPr>
          <w:p w:rsidR="004F3A8B" w:rsidRDefault="00FB0ED0">
            <w:pPr>
              <w:rPr>
                <w:i/>
                <w:iCs/>
              </w:rPr>
            </w:pPr>
            <w:r>
              <w:rPr>
                <w:i/>
                <w:iCs/>
              </w:rPr>
              <w:t>Keine Bild-Ton-Kombination</w:t>
            </w:r>
          </w:p>
        </w:tc>
      </w:tr>
      <w:tr w:rsidR="00E919C7" w:rsidTr="009A3FD8">
        <w:tc>
          <w:tcPr>
            <w:tcW w:w="0" w:type="auto"/>
          </w:tcPr>
          <w:p w:rsidR="004F3A8B" w:rsidRDefault="004F3A8B">
            <w:pPr>
              <w:rPr>
                <w:i/>
                <w:iCs/>
              </w:rPr>
            </w:pPr>
            <w:r>
              <w:rPr>
                <w:i/>
                <w:iCs/>
              </w:rPr>
              <w:lastRenderedPageBreak/>
              <w:t>Kontiguitätsprinzip</w:t>
            </w:r>
          </w:p>
        </w:tc>
        <w:tc>
          <w:tcPr>
            <w:tcW w:w="0" w:type="auto"/>
          </w:tcPr>
          <w:p w:rsidR="004F3A8B" w:rsidRDefault="00FB0ED0">
            <w:pPr>
              <w:rPr>
                <w:i/>
                <w:iCs/>
              </w:rPr>
            </w:pPr>
            <w:r>
              <w:rPr>
                <w:i/>
                <w:iCs/>
              </w:rPr>
              <w:t>Abbildungen in direkter Nähe zum erklärenden Text; Abbildungsverweise sind vorhanden</w:t>
            </w:r>
          </w:p>
        </w:tc>
        <w:tc>
          <w:tcPr>
            <w:tcW w:w="0" w:type="auto"/>
          </w:tcPr>
          <w:p w:rsidR="004F3A8B" w:rsidRDefault="00FB0ED0">
            <w:pPr>
              <w:rPr>
                <w:i/>
                <w:iCs/>
              </w:rPr>
            </w:pPr>
            <w:r>
              <w:rPr>
                <w:i/>
                <w:iCs/>
              </w:rPr>
              <w:t xml:space="preserve">Abbildungen überwiegend oben auf einer Seite, keine direkte Nähe; Abbildungsverweise sind vorhanden; Abbildungen ohne Bildunterschrift und Verweis in direkter Nähe zum </w:t>
            </w:r>
            <w:proofErr w:type="spellStart"/>
            <w:r>
              <w:rPr>
                <w:i/>
                <w:iCs/>
              </w:rPr>
              <w:t>Erklärtext</w:t>
            </w:r>
            <w:proofErr w:type="spellEnd"/>
          </w:p>
        </w:tc>
      </w:tr>
      <w:tr w:rsidR="00E919C7" w:rsidTr="009A3FD8">
        <w:tc>
          <w:tcPr>
            <w:tcW w:w="0" w:type="auto"/>
          </w:tcPr>
          <w:p w:rsidR="004F3A8B" w:rsidRDefault="004F3A8B">
            <w:pPr>
              <w:rPr>
                <w:i/>
                <w:iCs/>
              </w:rPr>
            </w:pPr>
            <w:r>
              <w:rPr>
                <w:i/>
                <w:iCs/>
              </w:rPr>
              <w:t>Kohärenzprinzip</w:t>
            </w:r>
          </w:p>
        </w:tc>
        <w:tc>
          <w:tcPr>
            <w:tcW w:w="0" w:type="auto"/>
          </w:tcPr>
          <w:p w:rsidR="004F3A8B" w:rsidRDefault="009A3FD8">
            <w:pPr>
              <w:rPr>
                <w:i/>
                <w:iCs/>
              </w:rPr>
            </w:pPr>
            <w:r>
              <w:rPr>
                <w:i/>
                <w:iCs/>
              </w:rPr>
              <w:t>Keine dekorativen Bildelemente auf den Seiten, sonst häufiger Abbildungen von Persönlichkeiten vorhanden</w:t>
            </w:r>
          </w:p>
        </w:tc>
        <w:tc>
          <w:tcPr>
            <w:tcW w:w="0" w:type="auto"/>
          </w:tcPr>
          <w:p w:rsidR="004F3A8B" w:rsidRDefault="009A3FD8">
            <w:pPr>
              <w:rPr>
                <w:i/>
                <w:iCs/>
              </w:rPr>
            </w:pPr>
            <w:r>
              <w:rPr>
                <w:i/>
                <w:iCs/>
              </w:rPr>
              <w:t>Eines der Bilder mit dekorativem Charakter (pH-Stäbchen in Probe), sonst nur Abb. mit direktem Bezug zur Kernaussage</w:t>
            </w:r>
          </w:p>
        </w:tc>
      </w:tr>
      <w:tr w:rsidR="00E919C7" w:rsidTr="009A3FD8">
        <w:tc>
          <w:tcPr>
            <w:tcW w:w="0" w:type="auto"/>
          </w:tcPr>
          <w:p w:rsidR="004F3A8B" w:rsidRDefault="004F3A8B">
            <w:pPr>
              <w:rPr>
                <w:i/>
                <w:iCs/>
              </w:rPr>
            </w:pPr>
            <w:r>
              <w:rPr>
                <w:i/>
                <w:iCs/>
              </w:rPr>
              <w:t>Signalisierungsprinzip</w:t>
            </w:r>
          </w:p>
        </w:tc>
        <w:tc>
          <w:tcPr>
            <w:tcW w:w="0" w:type="auto"/>
          </w:tcPr>
          <w:p w:rsidR="004F3A8B" w:rsidRDefault="009A3FD8">
            <w:pPr>
              <w:rPr>
                <w:i/>
                <w:iCs/>
              </w:rPr>
            </w:pPr>
            <w:r>
              <w:rPr>
                <w:i/>
                <w:iCs/>
              </w:rPr>
              <w:t>Blaue Schrift in der Randspalte mit uneinheitlicher Funktion; meist Zusatzinformation, nur einmalige Zusammenfassung; Gliederung durch Zwischenüberschriften, Hervorhebungen wichtiger Termini durch Fettdruck</w:t>
            </w:r>
          </w:p>
        </w:tc>
        <w:tc>
          <w:tcPr>
            <w:tcW w:w="0" w:type="auto"/>
          </w:tcPr>
          <w:p w:rsidR="004F3A8B" w:rsidRDefault="009A3FD8">
            <w:pPr>
              <w:rPr>
                <w:i/>
                <w:iCs/>
              </w:rPr>
            </w:pPr>
            <w:r>
              <w:rPr>
                <w:i/>
                <w:iCs/>
              </w:rPr>
              <w:t>Merksatz am Ende einer Doppelseite, Spitzmarken gliedern Text, Hervorhebung wichtiger Termini durch Kursiv- und Fettdruck</w:t>
            </w:r>
            <w:r w:rsidR="00280B21">
              <w:rPr>
                <w:i/>
                <w:iCs/>
              </w:rPr>
              <w:t xml:space="preserve">; </w:t>
            </w:r>
            <w:r w:rsidR="00E919C7">
              <w:rPr>
                <w:i/>
                <w:iCs/>
              </w:rPr>
              <w:t xml:space="preserve">eine </w:t>
            </w:r>
            <w:r w:rsidR="00280B21">
              <w:rPr>
                <w:i/>
                <w:iCs/>
              </w:rPr>
              <w:t>Abbildung mit farblich hervorgehobenen Atom</w:t>
            </w:r>
            <w:r w:rsidR="00E919C7">
              <w:rPr>
                <w:i/>
                <w:iCs/>
              </w:rPr>
              <w:t>- und Bindungs</w:t>
            </w:r>
            <w:r w:rsidR="00280B21">
              <w:rPr>
                <w:i/>
                <w:iCs/>
              </w:rPr>
              <w:t>symbolen.</w:t>
            </w:r>
            <w:r w:rsidR="00E919C7">
              <w:rPr>
                <w:i/>
                <w:iCs/>
              </w:rPr>
              <w:t xml:space="preserve"> Diese treten jedoch im Text nicht wieder auf.</w:t>
            </w:r>
          </w:p>
        </w:tc>
      </w:tr>
      <w:tr w:rsidR="00E919C7" w:rsidTr="009A3FD8">
        <w:tc>
          <w:tcPr>
            <w:tcW w:w="0" w:type="auto"/>
          </w:tcPr>
          <w:p w:rsidR="004F3A8B" w:rsidRDefault="004F3A8B">
            <w:pPr>
              <w:rPr>
                <w:i/>
                <w:iCs/>
              </w:rPr>
            </w:pPr>
            <w:r>
              <w:rPr>
                <w:i/>
                <w:iCs/>
              </w:rPr>
              <w:t>Redundanzprinzip</w:t>
            </w:r>
          </w:p>
        </w:tc>
        <w:tc>
          <w:tcPr>
            <w:tcW w:w="0" w:type="auto"/>
          </w:tcPr>
          <w:p w:rsidR="004F3A8B" w:rsidRDefault="009A3FD8">
            <w:pPr>
              <w:rPr>
                <w:i/>
                <w:iCs/>
              </w:rPr>
            </w:pPr>
            <w:r>
              <w:rPr>
                <w:i/>
                <w:iCs/>
              </w:rPr>
              <w:t>Keine redundante Information, Text sehr dicht</w:t>
            </w:r>
          </w:p>
        </w:tc>
        <w:tc>
          <w:tcPr>
            <w:tcW w:w="0" w:type="auto"/>
          </w:tcPr>
          <w:p w:rsidR="004F3A8B" w:rsidRDefault="009A3FD8">
            <w:pPr>
              <w:rPr>
                <w:i/>
                <w:iCs/>
              </w:rPr>
            </w:pPr>
            <w:r>
              <w:rPr>
                <w:i/>
                <w:iCs/>
              </w:rPr>
              <w:t>Leichte Redundanzen durch Abbildungen mit „Sprechblasen“, Text dicht</w:t>
            </w:r>
          </w:p>
        </w:tc>
      </w:tr>
      <w:tr w:rsidR="00E919C7" w:rsidTr="009A3FD8">
        <w:tc>
          <w:tcPr>
            <w:tcW w:w="0" w:type="auto"/>
          </w:tcPr>
          <w:p w:rsidR="004F3A8B" w:rsidRDefault="004F3A8B">
            <w:pPr>
              <w:rPr>
                <w:i/>
                <w:iCs/>
              </w:rPr>
            </w:pPr>
            <w:r>
              <w:rPr>
                <w:i/>
                <w:iCs/>
              </w:rPr>
              <w:t>Personalisierung</w:t>
            </w:r>
          </w:p>
        </w:tc>
        <w:tc>
          <w:tcPr>
            <w:tcW w:w="0" w:type="auto"/>
          </w:tcPr>
          <w:p w:rsidR="004F3A8B" w:rsidRDefault="004F3A8B">
            <w:pPr>
              <w:rPr>
                <w:i/>
                <w:iCs/>
              </w:rPr>
            </w:pPr>
            <w:r>
              <w:rPr>
                <w:i/>
                <w:iCs/>
              </w:rPr>
              <w:t>Keine direkte Ansprache</w:t>
            </w:r>
          </w:p>
        </w:tc>
        <w:tc>
          <w:tcPr>
            <w:tcW w:w="0" w:type="auto"/>
          </w:tcPr>
          <w:p w:rsidR="004F3A8B" w:rsidRDefault="004F3A8B">
            <w:pPr>
              <w:rPr>
                <w:i/>
                <w:iCs/>
              </w:rPr>
            </w:pPr>
            <w:r>
              <w:rPr>
                <w:i/>
                <w:iCs/>
              </w:rPr>
              <w:t>Direkte Ansprache nur in den Aufgaben („Sie“).</w:t>
            </w:r>
          </w:p>
        </w:tc>
      </w:tr>
    </w:tbl>
    <w:p w:rsidR="004F3A8B" w:rsidRDefault="004F3A8B">
      <w:pPr>
        <w:rPr>
          <w:i/>
          <w:iCs/>
        </w:rPr>
      </w:pPr>
    </w:p>
    <w:p w:rsidR="009A3FD8" w:rsidRDefault="009A3FD8">
      <w:pPr>
        <w:rPr>
          <w:i/>
          <w:iCs/>
        </w:rPr>
      </w:pPr>
      <w:r>
        <w:rPr>
          <w:i/>
          <w:iCs/>
        </w:rPr>
        <w:t xml:space="preserve">Das Unilehrbuch ist deutlich textlastiger und der Text ist dichter als im Chemie-Schulbuch. Das Kontiguitätsprinzip wird im Unilehrbuch besser </w:t>
      </w:r>
      <w:r w:rsidR="00280B21">
        <w:rPr>
          <w:i/>
          <w:iCs/>
        </w:rPr>
        <w:t>eingehalten als im Chemie-Schulbuch, da bei letzterem ein stringentes Layout die Nähe von Textinformation und Bild verringert. In den Abbildungen mit „Sprechblasen“</w:t>
      </w:r>
      <w:r w:rsidR="00694FBB">
        <w:rPr>
          <w:i/>
          <w:iCs/>
        </w:rPr>
        <w:t xml:space="preserve"> des Chemie-Schulbuchs</w:t>
      </w:r>
      <w:r w:rsidR="00280B21">
        <w:rPr>
          <w:i/>
          <w:iCs/>
        </w:rPr>
        <w:t xml:space="preserve"> ist das Kontiguitätsprinzip sehr gut verwirklicht. Hier ist jedoch die Textinformation redundant, was aber das Erschließen der Abbildung erleichtern </w:t>
      </w:r>
      <w:r w:rsidR="00694FBB">
        <w:rPr>
          <w:i/>
          <w:iCs/>
        </w:rPr>
        <w:t>kann.</w:t>
      </w:r>
      <w:r w:rsidR="00280B21">
        <w:rPr>
          <w:i/>
          <w:iCs/>
        </w:rPr>
        <w:t xml:space="preserve"> Das Kohärenzprinzip ist im Chemie-Schulbuch insgesamt besser verwirklicht. Dekorative Abbildungen haben hier einen motivationalen Effekt, während die Abbildungen zu berühmten </w:t>
      </w:r>
      <w:proofErr w:type="spellStart"/>
      <w:proofErr w:type="gramStart"/>
      <w:r w:rsidR="00280B21">
        <w:rPr>
          <w:i/>
          <w:iCs/>
        </w:rPr>
        <w:t>Chemiker:innen</w:t>
      </w:r>
      <w:proofErr w:type="spellEnd"/>
      <w:proofErr w:type="gramEnd"/>
      <w:r w:rsidR="00280B21">
        <w:rPr>
          <w:i/>
          <w:iCs/>
        </w:rPr>
        <w:t xml:space="preserve"> im Unilehrbuch für die Lesenden wenig motivieren. Hinsichtlich der Hervorhebung wesentlicher Aspekte punktet auch das Chemie-Schulbuch, denn die Merksätze und die Spitzmarken sind ein wiederkehrendes Element. Eine Optimierung wäre beim Chemie-Schulbuch dahingehend möglich, dass die Kernaussagen nicht gebündelt am Ende der Doppelseite, sondern direkt nach dem inhaltlichen Abschnitt formuliert werden. </w:t>
      </w:r>
      <w:r w:rsidR="00E919C7">
        <w:rPr>
          <w:i/>
          <w:iCs/>
        </w:rPr>
        <w:t xml:space="preserve">Auch die Farbcodierung von Atomen und Bindungen in der Abbildung zum </w:t>
      </w:r>
      <w:proofErr w:type="spellStart"/>
      <w:r w:rsidR="00E919C7">
        <w:rPr>
          <w:i/>
          <w:iCs/>
        </w:rPr>
        <w:t>Protolyseverhalten</w:t>
      </w:r>
      <w:proofErr w:type="spellEnd"/>
      <w:r w:rsidR="00E919C7">
        <w:rPr>
          <w:i/>
          <w:iCs/>
        </w:rPr>
        <w:t xml:space="preserve"> der dargestellten Teilchen könnte im Text wiederholt werden. </w:t>
      </w:r>
    </w:p>
    <w:p w:rsidR="00A76D40" w:rsidRDefault="00A76D40" w:rsidP="00A76D40">
      <w:pPr>
        <w:pBdr>
          <w:bottom w:val="single" w:sz="4" w:space="1" w:color="auto"/>
        </w:pBdr>
      </w:pPr>
    </w:p>
    <w:p w:rsidR="00A76D40" w:rsidRDefault="00A76D40"/>
    <w:p w:rsidR="00A76D40" w:rsidRDefault="00A76D40">
      <w:r w:rsidRPr="00A76D40">
        <w:t>A8.6 Nehmen Sie sich ein Chemie-Schulbuch Ihrer Wahl und schlagen Sie ein beliebiges Kapitel auf. Arbeiten Sie das Kapitel durch und prüfen Sie a) welche Schulbuchseiten für die zu vermittelnden Inhalte besonders wichtig und welche weniger wichtig sind und b) wie Sie mit den von Ihnen als wichtig erachteten Seiten im Unterricht arbeiten könnten.</w:t>
      </w:r>
    </w:p>
    <w:p w:rsidR="00A76D40" w:rsidRDefault="00A76D40"/>
    <w:p w:rsidR="00A76D40" w:rsidRDefault="00E919C7" w:rsidP="00E919C7">
      <w:pPr>
        <w:rPr>
          <w:i/>
          <w:iCs/>
        </w:rPr>
      </w:pPr>
      <w:r w:rsidRPr="00E919C7">
        <w:rPr>
          <w:i/>
          <w:iCs/>
        </w:rPr>
        <w:lastRenderedPageBreak/>
        <w:t xml:space="preserve">Beispielschulbuch: </w:t>
      </w:r>
      <w:r w:rsidR="00694FBB">
        <w:rPr>
          <w:i/>
          <w:iCs/>
        </w:rPr>
        <w:t xml:space="preserve">Bohrmann-Linde, C. et al. (2020). Chemie </w:t>
      </w:r>
      <w:r w:rsidR="00246A9B">
        <w:rPr>
          <w:i/>
          <w:iCs/>
        </w:rPr>
        <w:t xml:space="preserve">Gesamtband Sek. I für NRW, Bamberg: </w:t>
      </w:r>
      <w:r>
        <w:rPr>
          <w:i/>
          <w:iCs/>
        </w:rPr>
        <w:t>Buchner</w:t>
      </w:r>
      <w:r w:rsidR="00246A9B">
        <w:rPr>
          <w:i/>
          <w:iCs/>
        </w:rPr>
        <w:t>s</w:t>
      </w:r>
    </w:p>
    <w:p w:rsidR="00246A9B" w:rsidRPr="00E919C7" w:rsidRDefault="00246A9B" w:rsidP="00E919C7">
      <w:pPr>
        <w:rPr>
          <w:i/>
          <w:iCs/>
        </w:rPr>
      </w:pPr>
      <w:r>
        <w:rPr>
          <w:i/>
          <w:iCs/>
        </w:rPr>
        <w:t>Beispielthema: Stoffe und ihre Eigenschaften (Buchseiten 30 – 39)</w:t>
      </w:r>
    </w:p>
    <w:p w:rsidR="00246A9B" w:rsidRDefault="00246A9B" w:rsidP="00E919C7">
      <w:pPr>
        <w:rPr>
          <w:i/>
          <w:iCs/>
        </w:rPr>
      </w:pPr>
    </w:p>
    <w:p w:rsidR="004E6463" w:rsidRDefault="00246A9B" w:rsidP="00246A9B">
      <w:pPr>
        <w:pStyle w:val="Listenabsatz"/>
        <w:numPr>
          <w:ilvl w:val="0"/>
          <w:numId w:val="9"/>
        </w:numPr>
        <w:rPr>
          <w:i/>
          <w:iCs/>
        </w:rPr>
      </w:pPr>
      <w:r w:rsidRPr="00246A9B">
        <w:rPr>
          <w:i/>
          <w:iCs/>
        </w:rPr>
        <w:t xml:space="preserve">Wichtige Seiten / Seitenteile für die Arbeit </w:t>
      </w:r>
      <w:r w:rsidRPr="00246A9B">
        <w:rPr>
          <w:i/>
          <w:iCs/>
          <w:u w:val="single"/>
        </w:rPr>
        <w:t>im</w:t>
      </w:r>
      <w:r w:rsidRPr="00246A9B">
        <w:rPr>
          <w:i/>
          <w:iCs/>
        </w:rPr>
        <w:t xml:space="preserve"> Unterricht </w:t>
      </w:r>
      <w:proofErr w:type="spellStart"/>
      <w:r w:rsidRPr="00246A9B">
        <w:rPr>
          <w:i/>
          <w:iCs/>
        </w:rPr>
        <w:t>incl</w:t>
      </w:r>
      <w:proofErr w:type="spellEnd"/>
      <w:r w:rsidRPr="00246A9B">
        <w:rPr>
          <w:i/>
          <w:iCs/>
        </w:rPr>
        <w:t>. möglicher Arbeitsweis</w:t>
      </w:r>
      <w:r w:rsidR="004E6463">
        <w:rPr>
          <w:i/>
          <w:iCs/>
        </w:rPr>
        <w:t>en</w:t>
      </w:r>
      <w:r w:rsidRPr="00246A9B">
        <w:rPr>
          <w:i/>
          <w:iCs/>
        </w:rPr>
        <w:t>: Seite</w:t>
      </w:r>
      <w:r w:rsidR="004E6463">
        <w:rPr>
          <w:i/>
          <w:iCs/>
        </w:rPr>
        <w:t xml:space="preserve"> 32/33: Startklar-Aufgaben als Kompetenzcheck, jedoch nicht als Einstieg in das Thema Stoffeigenschaften, sondern zur Selbstkontrolle am Ende der Laboreinführung; Seite 34/35: </w:t>
      </w:r>
      <w:r w:rsidR="004E6463">
        <w:rPr>
          <w:i/>
          <w:iCs/>
        </w:rPr>
        <w:t xml:space="preserve">V5 </w:t>
      </w:r>
      <w:r w:rsidR="004E6463">
        <w:rPr>
          <w:i/>
          <w:iCs/>
        </w:rPr>
        <w:t xml:space="preserve">als </w:t>
      </w:r>
      <w:r w:rsidR="004E6463">
        <w:rPr>
          <w:i/>
          <w:iCs/>
        </w:rPr>
        <w:t>Phänomen; V6 dann später, wenn</w:t>
      </w:r>
      <w:r w:rsidR="004E6463">
        <w:rPr>
          <w:i/>
          <w:iCs/>
        </w:rPr>
        <w:t xml:space="preserve"> Idee, Masse und Volumen herauszufinden, entwickelt wurde;</w:t>
      </w:r>
    </w:p>
    <w:p w:rsidR="00246A9B" w:rsidRDefault="00246A9B" w:rsidP="00246A9B">
      <w:pPr>
        <w:pStyle w:val="Listenabsatz"/>
        <w:numPr>
          <w:ilvl w:val="0"/>
          <w:numId w:val="9"/>
        </w:numPr>
        <w:rPr>
          <w:i/>
          <w:iCs/>
        </w:rPr>
      </w:pPr>
      <w:r>
        <w:rPr>
          <w:i/>
          <w:iCs/>
        </w:rPr>
        <w:t>Wichtige Seiten / Seitenteile für die häusliche Nacharbeit der Lernenden:</w:t>
      </w:r>
      <w:r w:rsidR="00F05D5B">
        <w:rPr>
          <w:i/>
          <w:iCs/>
        </w:rPr>
        <w:t xml:space="preserve"> Seiten 36-39; da die Arbeit mit dem Buch im Unterricht aufgrund der Gestaltung als Lehrbuch kaum möglich ist, werden gezielt Aufgaben zur Nacharbeit aufgegeben (Texte lesen, A1 + A3 auf S. 37, A2 + A4 auf S. 39); die übrigen Aufgaben haben keine klare Passung zum durchgeführten Unterrichtsgang.</w:t>
      </w:r>
    </w:p>
    <w:p w:rsidR="00246A9B" w:rsidRDefault="00246A9B" w:rsidP="00246A9B">
      <w:pPr>
        <w:pStyle w:val="Listenabsatz"/>
        <w:numPr>
          <w:ilvl w:val="0"/>
          <w:numId w:val="9"/>
        </w:numPr>
        <w:rPr>
          <w:i/>
          <w:iCs/>
        </w:rPr>
      </w:pPr>
      <w:r>
        <w:rPr>
          <w:i/>
          <w:iCs/>
        </w:rPr>
        <w:t>Weniger wichtige Seiten incl. Begründung in Klammern: 30/31 (Kapiteleinstiegsaufschlag mit Fachbegriffen wenig motivierend; zentrale Begriffe werden zwar vorgestellt (Transparenz), doch kaum nachhaltige Funktion für die Bearbeitung der Kapitelinhalte); 34/35 (Versuche</w:t>
      </w:r>
      <w:r w:rsidR="004E6463">
        <w:rPr>
          <w:i/>
          <w:iCs/>
        </w:rPr>
        <w:t xml:space="preserve"> 1 bis 3</w:t>
      </w:r>
      <w:r>
        <w:rPr>
          <w:i/>
          <w:iCs/>
        </w:rPr>
        <w:t xml:space="preserve"> zu geschlossen, kaum explorative Herangehensweise möglich, wie sie im Forschungsauftrag zu „weißen Pulvern“ möglich ist (vgl. Sieve et al. (2022). Experimente im Chemieunterricht. Heidelberg: Springer, S. </w:t>
      </w:r>
      <w:r w:rsidR="004E6463">
        <w:rPr>
          <w:i/>
          <w:iCs/>
        </w:rPr>
        <w:t>29ff.); zu V4 gibt es instruktivere Alternativen (Erstarrungstemperatur von Stearinsäure))</w:t>
      </w:r>
    </w:p>
    <w:p w:rsidR="00AC124E" w:rsidRDefault="00AC124E" w:rsidP="00F05D5B">
      <w:pPr>
        <w:rPr>
          <w:i/>
          <w:iCs/>
        </w:rPr>
      </w:pPr>
    </w:p>
    <w:p w:rsidR="00F05D5B" w:rsidRPr="00F05D5B" w:rsidRDefault="00F05D5B" w:rsidP="00F05D5B">
      <w:pPr>
        <w:rPr>
          <w:i/>
          <w:iCs/>
        </w:rPr>
      </w:pPr>
      <w:r>
        <w:rPr>
          <w:i/>
          <w:iCs/>
        </w:rPr>
        <w:t xml:space="preserve">Fazit: Aufgrund der Gestaltung des Schulbuchs als Lehrbuch mit kleinen Arbeitsbuchanteilen ist eine Nutzung des Buches im Themenbereich Stoffe und ihre Eigenschaften kaum zur Erarbeitung von Inhalten im Unterricht geeignet, wohl aber für die häusliche Nacharbeit und zur Vorbereitung auf Klassenarbeiten u. a. Lernzielkontrollen. </w:t>
      </w:r>
      <w:r w:rsidR="00AC124E">
        <w:rPr>
          <w:i/>
          <w:iCs/>
        </w:rPr>
        <w:t>Die Wahl und der Zuschnitt der Experimente ist zwar grundsätzlich für die Erarbeitung des Themas Stoffeigenschaften geeignet, doch wäre beim Kontext „weiße Pulver“ ein stärker exploratives Vorgehen erwünscht. Für andere Themenbereiche kann die Analyse zu einem anderen Ergebnis kommen.</w:t>
      </w:r>
    </w:p>
    <w:p w:rsidR="00A76D40" w:rsidRDefault="00A76D40" w:rsidP="00E919C7">
      <w:pPr>
        <w:pBdr>
          <w:bottom w:val="single" w:sz="4" w:space="1" w:color="auto"/>
        </w:pBdr>
      </w:pPr>
    </w:p>
    <w:p w:rsidR="00E919C7" w:rsidRDefault="00E919C7"/>
    <w:p w:rsidR="00E919C7" w:rsidRDefault="00A76D40">
      <w:pPr>
        <w:rPr>
          <w:color w:val="000000"/>
        </w:rPr>
      </w:pPr>
      <w:r>
        <w:rPr>
          <w:color w:val="000000"/>
        </w:rPr>
        <w:t>A8.7 a) Sichten Sie verschiedene Arbeitsbögen von Schulbuchverlagen zu einem Thema Ihrer Wahl. Vergleichen Sie Layout, Aufgabenstellungen sowie weitere Ihnen auffallende Gestaltungsmerkmale und beurteilen Sie diese Merkmale im Hinblick auf die Gestaltungs</w:t>
      </w:r>
      <w:r w:rsidR="00E919C7">
        <w:rPr>
          <w:color w:val="000000"/>
        </w:rPr>
        <w:t>m</w:t>
      </w:r>
      <w:r>
        <w:rPr>
          <w:color w:val="000000"/>
        </w:rPr>
        <w:t xml:space="preserve">erkmale aus Tab. 8.1. </w:t>
      </w:r>
    </w:p>
    <w:p w:rsidR="00A76D40" w:rsidRPr="00E919C7" w:rsidRDefault="00A76D40">
      <w:pPr>
        <w:rPr>
          <w:color w:val="000000"/>
        </w:rPr>
      </w:pPr>
      <w:r>
        <w:rPr>
          <w:color w:val="000000"/>
        </w:rPr>
        <w:t>b) Versuchen Sie die Zielsetzung der von Ihnen untersuchten Arbeitsbögen zu bestimmen.</w:t>
      </w:r>
    </w:p>
    <w:p w:rsidR="00A76D40" w:rsidRDefault="00A76D40"/>
    <w:p w:rsidR="00E919C7" w:rsidRDefault="00E919C7">
      <w:pPr>
        <w:rPr>
          <w:i/>
          <w:iCs/>
        </w:rPr>
      </w:pPr>
      <w:r w:rsidRPr="00523F0A">
        <w:rPr>
          <w:i/>
          <w:iCs/>
        </w:rPr>
        <w:t xml:space="preserve">Zu dieser Aufgabe kann keine einheitliche Lösung bereitgestellt werden, da diese von der Art der ausgewählten Arbeitsbögen abhängt. Beispielhaft werden Angaben zu einem Arbeitsbogen aus dem Arbeitsheft von </w:t>
      </w:r>
      <w:r w:rsidR="00523F0A" w:rsidRPr="00523F0A">
        <w:rPr>
          <w:i/>
          <w:iCs/>
        </w:rPr>
        <w:t>Gietz et al. (2021). Elemente Chemie Oberstufe, Arbeitsheft 3. Stuttgart: Klett, S. 3</w:t>
      </w:r>
    </w:p>
    <w:p w:rsidR="00523F0A" w:rsidRDefault="00523F0A">
      <w:pPr>
        <w:rPr>
          <w:i/>
          <w:iCs/>
        </w:rPr>
      </w:pPr>
      <w:r>
        <w:rPr>
          <w:i/>
          <w:iCs/>
        </w:rPr>
        <w:t>Allgemeiner Aufbau: Kopfzeile mit Angabe des Themenkomplexes (Kohlenwasserstoffe), Überschrift, einleitender Text mit dekorativem Bild (Kontextualisierung, Bereitstellung zentraler Fachinformation), Material (hier Tabelle und Strukturformeln von Isomeren), Aufgaben mit Operationalisierung und Niveaukennzeichnung.</w:t>
      </w:r>
    </w:p>
    <w:p w:rsidR="00523F0A" w:rsidRDefault="00523F0A">
      <w:pPr>
        <w:rPr>
          <w:i/>
          <w:iCs/>
        </w:rPr>
      </w:pPr>
      <w:r>
        <w:rPr>
          <w:i/>
          <w:iCs/>
        </w:rPr>
        <w:t xml:space="preserve">Der Aufbau ist recht klassisch für einen Arbeitsbogen. Die Lernenden werden über eine Anknüpfung mit einem Alltagskontext konfrontiert (situative Einbettung). Dieser ist jedoch </w:t>
      </w:r>
      <w:r>
        <w:rPr>
          <w:i/>
          <w:iCs/>
        </w:rPr>
        <w:lastRenderedPageBreak/>
        <w:t xml:space="preserve">nur teilweise für die Aufgabenstellung tragend, da im </w:t>
      </w:r>
      <w:proofErr w:type="spellStart"/>
      <w:r>
        <w:rPr>
          <w:i/>
          <w:iCs/>
        </w:rPr>
        <w:t>Campingas</w:t>
      </w:r>
      <w:proofErr w:type="spellEnd"/>
      <w:r>
        <w:rPr>
          <w:i/>
          <w:iCs/>
        </w:rPr>
        <w:t xml:space="preserve"> nicht die angegebenen verzweigten Alkane vorkommen. </w:t>
      </w:r>
      <w:r w:rsidR="00BE1ED5">
        <w:rPr>
          <w:i/>
          <w:iCs/>
        </w:rPr>
        <w:t xml:space="preserve">Über die Abbildungsverweise wird für die Nutzenden ein Zusammenhang zwischen Aufgabe und Abbildung hergestellt. Das Kontiguitätsprinzip wird jedoch kaum verwirklicht. Eine persönliche Ansprache findet sich nur in den Aufgabenformulierungen, nicht aber im Kontextbezug. Die Abbildung des Campingkochers ist rein dekorativ und damit überflüssig. Die Formeldarstellungen im Material sind dagegen wichtig. </w:t>
      </w:r>
    </w:p>
    <w:p w:rsidR="00523F0A" w:rsidRPr="00523F0A" w:rsidRDefault="00BE1ED5">
      <w:pPr>
        <w:rPr>
          <w:i/>
          <w:iCs/>
        </w:rPr>
      </w:pPr>
      <w:r>
        <w:rPr>
          <w:i/>
          <w:iCs/>
        </w:rPr>
        <w:t xml:space="preserve">Funktion des Arbeitsbogens: Anwendung der homologen Reihe und der </w:t>
      </w:r>
      <w:proofErr w:type="spellStart"/>
      <w:r>
        <w:rPr>
          <w:i/>
          <w:iCs/>
        </w:rPr>
        <w:t>Nomenklaturregeln</w:t>
      </w:r>
      <w:proofErr w:type="spellEnd"/>
      <w:r>
        <w:rPr>
          <w:i/>
          <w:iCs/>
        </w:rPr>
        <w:t xml:space="preserve"> für verzweigte Alkan-Moleküle, nachdem beide Inhaltsbereiche behandelt wurden. Der Arbeitsbogen dient daher vornehmlich der Sicherung und Konsolidierung von Fachkenntnissen.</w:t>
      </w:r>
    </w:p>
    <w:p w:rsidR="00A76D40" w:rsidRPr="00523F0A" w:rsidRDefault="00A76D40" w:rsidP="00A76D40">
      <w:pPr>
        <w:pBdr>
          <w:bottom w:val="single" w:sz="4" w:space="1" w:color="auto"/>
        </w:pBdr>
        <w:rPr>
          <w:i/>
          <w:iCs/>
        </w:rPr>
      </w:pPr>
    </w:p>
    <w:p w:rsidR="00A76D40" w:rsidRDefault="00A76D40"/>
    <w:p w:rsidR="00A76D40" w:rsidRDefault="00A76D40">
      <w:pPr>
        <w:rPr>
          <w:color w:val="000000"/>
        </w:rPr>
      </w:pPr>
      <w:r>
        <w:rPr>
          <w:color w:val="000000"/>
        </w:rPr>
        <w:t>A8.8 Wählen Sie einen Arbeitsbogen eines Schulbuchverlags oder eine Seite aus einem Chemie-Schulbuch und gestalten Sie die Seite so um, dass daraus ein Methodenwerkzeug wird.</w:t>
      </w:r>
    </w:p>
    <w:p w:rsidR="00A76D40" w:rsidRDefault="00A76D40">
      <w:pPr>
        <w:rPr>
          <w:color w:val="000000"/>
        </w:rPr>
      </w:pPr>
    </w:p>
    <w:p w:rsidR="00BE1ED5" w:rsidRPr="00867ECD" w:rsidRDefault="00BE1ED5">
      <w:pPr>
        <w:rPr>
          <w:i/>
          <w:iCs/>
        </w:rPr>
      </w:pPr>
      <w:r w:rsidRPr="00523F0A">
        <w:rPr>
          <w:i/>
          <w:iCs/>
        </w:rPr>
        <w:t>Zu dieser Aufgabe kann keine einheitliche Lösung bereitgestellt werden, da diese von der Art de</w:t>
      </w:r>
      <w:r>
        <w:rPr>
          <w:i/>
          <w:iCs/>
        </w:rPr>
        <w:t>s</w:t>
      </w:r>
      <w:r w:rsidRPr="00523F0A">
        <w:rPr>
          <w:i/>
          <w:iCs/>
        </w:rPr>
        <w:t xml:space="preserve"> ausgewählten Arbeitsb</w:t>
      </w:r>
      <w:r>
        <w:rPr>
          <w:i/>
          <w:iCs/>
        </w:rPr>
        <w:t>ogens</w:t>
      </w:r>
      <w:r w:rsidRPr="00523F0A">
        <w:rPr>
          <w:i/>
          <w:iCs/>
        </w:rPr>
        <w:t xml:space="preserve"> abhängt.</w:t>
      </w:r>
      <w:r w:rsidR="006A0AF9">
        <w:rPr>
          <w:i/>
          <w:iCs/>
        </w:rPr>
        <w:t xml:space="preserve"> </w:t>
      </w:r>
      <w:proofErr w:type="gramStart"/>
      <w:r w:rsidR="00867ECD">
        <w:rPr>
          <w:i/>
          <w:iCs/>
        </w:rPr>
        <w:t>Statt dessen</w:t>
      </w:r>
      <w:proofErr w:type="gramEnd"/>
      <w:r w:rsidR="00867ECD">
        <w:rPr>
          <w:i/>
          <w:iCs/>
        </w:rPr>
        <w:t xml:space="preserve"> sei hier auf wesentliche Strategien </w:t>
      </w:r>
      <w:r w:rsidR="00867ECD" w:rsidRPr="00867ECD">
        <w:rPr>
          <w:i/>
          <w:iCs/>
        </w:rPr>
        <w:t>verwiesen, über die aus einem Arbeitsbogen ein Methodenwerkzeug wird:</w:t>
      </w:r>
    </w:p>
    <w:p w:rsidR="00EF24D7" w:rsidRDefault="00EF24D7" w:rsidP="00867ECD">
      <w:pPr>
        <w:pStyle w:val="Listenabsatz"/>
        <w:numPr>
          <w:ilvl w:val="0"/>
          <w:numId w:val="10"/>
        </w:numPr>
        <w:rPr>
          <w:i/>
          <w:iCs/>
          <w:color w:val="000000"/>
        </w:rPr>
      </w:pPr>
      <w:r>
        <w:rPr>
          <w:i/>
          <w:iCs/>
          <w:color w:val="000000"/>
        </w:rPr>
        <w:t xml:space="preserve">Strategie: </w:t>
      </w:r>
      <w:proofErr w:type="spellStart"/>
      <w:r>
        <w:rPr>
          <w:i/>
          <w:iCs/>
          <w:color w:val="000000"/>
        </w:rPr>
        <w:t>Puzzlen</w:t>
      </w:r>
      <w:proofErr w:type="spellEnd"/>
      <w:r>
        <w:rPr>
          <w:i/>
          <w:iCs/>
          <w:color w:val="000000"/>
        </w:rPr>
        <w:t xml:space="preserve"> und Legen</w:t>
      </w:r>
    </w:p>
    <w:p w:rsidR="00867ECD" w:rsidRDefault="00867ECD" w:rsidP="00EF24D7">
      <w:pPr>
        <w:pStyle w:val="Listenabsatz"/>
        <w:ind w:left="360"/>
        <w:rPr>
          <w:i/>
          <w:iCs/>
          <w:color w:val="000000"/>
        </w:rPr>
      </w:pPr>
      <w:r w:rsidRPr="00867ECD">
        <w:rPr>
          <w:i/>
          <w:iCs/>
          <w:color w:val="000000"/>
        </w:rPr>
        <w:t>Beispiel Reaktionsmechanismen: Aus der Darstellung eines Reaktion</w:t>
      </w:r>
      <w:r>
        <w:rPr>
          <w:i/>
          <w:iCs/>
          <w:color w:val="000000"/>
        </w:rPr>
        <w:t>s</w:t>
      </w:r>
      <w:r w:rsidRPr="00867ECD">
        <w:rPr>
          <w:i/>
          <w:iCs/>
          <w:color w:val="000000"/>
        </w:rPr>
        <w:t xml:space="preserve">mechanismus </w:t>
      </w:r>
      <w:r>
        <w:rPr>
          <w:i/>
          <w:iCs/>
          <w:color w:val="000000"/>
        </w:rPr>
        <w:t>in Formelschreibweise oder als Kugel-Stab-Darstellung</w:t>
      </w:r>
      <w:r w:rsidR="00EF24D7">
        <w:rPr>
          <w:i/>
          <w:iCs/>
          <w:color w:val="000000"/>
        </w:rPr>
        <w:t xml:space="preserve"> können die Einzelschritte ausgeschnitten werden. Die Lernenden legen die Puzzleteile in eine für sie geeignet Abfolge und begründen diese. </w:t>
      </w:r>
    </w:p>
    <w:p w:rsidR="009842A1" w:rsidRPr="009842A1" w:rsidRDefault="00EF24D7" w:rsidP="009842A1">
      <w:pPr>
        <w:pStyle w:val="Listenabsatz"/>
        <w:ind w:left="360"/>
        <w:rPr>
          <w:i/>
          <w:iCs/>
          <w:color w:val="000000"/>
        </w:rPr>
      </w:pPr>
      <w:r>
        <w:rPr>
          <w:i/>
          <w:iCs/>
          <w:color w:val="000000"/>
        </w:rPr>
        <w:t>Beispiel Elemente – Namen und Elementsymbole: Aus einer Tabelle mit Namen und Elementsymbolen werden Karten hergestellt. Die Lernenden suchen in Gruppen zum Namen das passende Elementsymbol und lernen dabei gleichzeitig Namen und Symbol</w:t>
      </w:r>
      <w:r w:rsidR="009842A1">
        <w:rPr>
          <w:i/>
          <w:iCs/>
          <w:color w:val="000000"/>
        </w:rPr>
        <w:t>.</w:t>
      </w:r>
    </w:p>
    <w:p w:rsidR="00EF24D7" w:rsidRDefault="00EF24D7" w:rsidP="00EF24D7">
      <w:pPr>
        <w:pStyle w:val="Listenabsatz"/>
        <w:numPr>
          <w:ilvl w:val="0"/>
          <w:numId w:val="10"/>
        </w:numPr>
        <w:rPr>
          <w:i/>
          <w:iCs/>
          <w:color w:val="000000"/>
        </w:rPr>
      </w:pPr>
      <w:r>
        <w:rPr>
          <w:i/>
          <w:iCs/>
          <w:color w:val="000000"/>
        </w:rPr>
        <w:t>Strategie: Lücken lassen</w:t>
      </w:r>
    </w:p>
    <w:p w:rsidR="00FD7127" w:rsidRDefault="00FD7127" w:rsidP="00FD7127">
      <w:pPr>
        <w:pStyle w:val="Listenabsatz"/>
        <w:ind w:left="360"/>
        <w:rPr>
          <w:i/>
          <w:iCs/>
          <w:color w:val="000000"/>
        </w:rPr>
      </w:pPr>
      <w:r>
        <w:rPr>
          <w:i/>
          <w:iCs/>
          <w:color w:val="000000"/>
        </w:rPr>
        <w:t xml:space="preserve">Beispiel Reaktionsmechanismen: </w:t>
      </w:r>
      <w:r w:rsidR="009842A1">
        <w:rPr>
          <w:i/>
          <w:iCs/>
          <w:color w:val="000000"/>
        </w:rPr>
        <w:t>Aus der Darstellung eines Reaktionsmechanismus werden einzelne Schritte entfernt. Als Material erhalten die Lernenden eine Beschreibung des Reaktionsschritts in Textform. Die Lernenden ergänzen dazu die Formeldarstellung.</w:t>
      </w:r>
    </w:p>
    <w:p w:rsidR="00FD7127" w:rsidRDefault="009842A1" w:rsidP="00EF24D7">
      <w:pPr>
        <w:pStyle w:val="Listenabsatz"/>
        <w:numPr>
          <w:ilvl w:val="0"/>
          <w:numId w:val="10"/>
        </w:numPr>
        <w:rPr>
          <w:i/>
          <w:iCs/>
          <w:color w:val="000000"/>
        </w:rPr>
      </w:pPr>
      <w:r>
        <w:rPr>
          <w:i/>
          <w:iCs/>
          <w:color w:val="000000"/>
        </w:rPr>
        <w:t>Strategie: Darstellungsform wechseln</w:t>
      </w:r>
    </w:p>
    <w:p w:rsidR="009842A1" w:rsidRDefault="009842A1" w:rsidP="009842A1">
      <w:pPr>
        <w:pStyle w:val="Listenabsatz"/>
        <w:ind w:left="360"/>
        <w:rPr>
          <w:i/>
          <w:iCs/>
          <w:color w:val="000000"/>
        </w:rPr>
      </w:pPr>
      <w:r>
        <w:rPr>
          <w:i/>
          <w:iCs/>
          <w:color w:val="000000"/>
        </w:rPr>
        <w:t xml:space="preserve">Beispiel Reaktionsmechanismen: Die Lernenden arbeiten im Tandem. Ein Lernpartner erhält die Formeldarstellung eines Mechanismus, der andere eine Beschreibung des Reaktionsverlaufs als Text. Partner 1 übersetzt die Formeldarstellung in einen Text, Partner 2 den Text in eine Formeldarstellung. Die Lösungen beider Lernenden werden verglichen. Diese Strategie eignet sich auch </w:t>
      </w:r>
      <w:proofErr w:type="gramStart"/>
      <w:r>
        <w:rPr>
          <w:i/>
          <w:iCs/>
          <w:color w:val="000000"/>
        </w:rPr>
        <w:t>bei einfache technischen Prozessen</w:t>
      </w:r>
      <w:proofErr w:type="gramEnd"/>
      <w:r>
        <w:rPr>
          <w:i/>
          <w:iCs/>
          <w:color w:val="000000"/>
        </w:rPr>
        <w:t>.</w:t>
      </w:r>
    </w:p>
    <w:p w:rsidR="009842A1" w:rsidRDefault="009842A1" w:rsidP="00EF24D7">
      <w:pPr>
        <w:pStyle w:val="Listenabsatz"/>
        <w:numPr>
          <w:ilvl w:val="0"/>
          <w:numId w:val="10"/>
        </w:numPr>
        <w:rPr>
          <w:i/>
          <w:iCs/>
          <w:color w:val="000000"/>
        </w:rPr>
      </w:pPr>
      <w:r>
        <w:rPr>
          <w:i/>
          <w:iCs/>
          <w:color w:val="000000"/>
        </w:rPr>
        <w:t>Strategie: Textliche Hilfen</w:t>
      </w:r>
    </w:p>
    <w:p w:rsidR="009842A1" w:rsidRDefault="009842A1" w:rsidP="009842A1">
      <w:pPr>
        <w:pStyle w:val="Listenabsatz"/>
        <w:ind w:left="360"/>
        <w:rPr>
          <w:i/>
          <w:iCs/>
          <w:color w:val="000000"/>
        </w:rPr>
      </w:pPr>
      <w:r>
        <w:rPr>
          <w:i/>
          <w:iCs/>
          <w:color w:val="000000"/>
        </w:rPr>
        <w:t>Beispiel Energiediagramme: Lernende erhalten eine Abbildung eines Energiediagramms und dazu auf Karten verschiedene Sprechblasen mit der Beschreibung einzelner Aspekte des Diagramms und der Energiearten. Die Lernenden ordnen die Sprechblasen zu.</w:t>
      </w:r>
    </w:p>
    <w:p w:rsidR="009842A1" w:rsidRDefault="009842A1" w:rsidP="009842A1">
      <w:pPr>
        <w:pStyle w:val="Listenabsatz"/>
        <w:ind w:left="360"/>
        <w:rPr>
          <w:i/>
          <w:iCs/>
          <w:color w:val="000000"/>
        </w:rPr>
      </w:pPr>
      <w:r>
        <w:rPr>
          <w:i/>
          <w:iCs/>
          <w:color w:val="000000"/>
        </w:rPr>
        <w:t>Beispie</w:t>
      </w:r>
      <w:r w:rsidR="005A22F4">
        <w:rPr>
          <w:i/>
          <w:iCs/>
          <w:color w:val="000000"/>
        </w:rPr>
        <w:t xml:space="preserve">l Lösen von Salzen: Die Lernenden erhalten eine Abbildung vom Ablauf des Lösevorgangs von Kochsalz in Wasser und sollen den Vorgang unter Anwendung ihrer Kenntnisse zu </w:t>
      </w:r>
      <w:r w:rsidR="00C31A01">
        <w:rPr>
          <w:i/>
          <w:iCs/>
          <w:color w:val="000000"/>
        </w:rPr>
        <w:t>den Wechselwirkungen zwischen Teilchen auf der Teilchenebene beschreiben. Als Hilfe erhalten die Lernenden dazu eine Liste mit den wichtigen Fachbezeichnungen und ggf. auch einigen Satzbausteinen.</w:t>
      </w:r>
    </w:p>
    <w:p w:rsidR="00C31A01" w:rsidRDefault="00C31A01" w:rsidP="00C31A01">
      <w:pPr>
        <w:pStyle w:val="Listenabsatz"/>
        <w:numPr>
          <w:ilvl w:val="0"/>
          <w:numId w:val="10"/>
        </w:numPr>
        <w:rPr>
          <w:i/>
          <w:iCs/>
          <w:color w:val="000000"/>
        </w:rPr>
      </w:pPr>
      <w:r>
        <w:rPr>
          <w:i/>
          <w:iCs/>
          <w:color w:val="000000"/>
        </w:rPr>
        <w:t>Strategie: Fehler einbauen</w:t>
      </w:r>
    </w:p>
    <w:p w:rsidR="00C31A01" w:rsidRPr="00EF24D7" w:rsidRDefault="00C31A01" w:rsidP="00C31A01">
      <w:pPr>
        <w:pStyle w:val="Listenabsatz"/>
        <w:ind w:left="360"/>
        <w:rPr>
          <w:i/>
          <w:iCs/>
          <w:color w:val="000000"/>
        </w:rPr>
      </w:pPr>
      <w:r>
        <w:rPr>
          <w:i/>
          <w:iCs/>
          <w:color w:val="000000"/>
        </w:rPr>
        <w:lastRenderedPageBreak/>
        <w:t xml:space="preserve">Beispiel Lösen von Salzen: Die Lernenden erhalten eine Abbildung vom Lösen von Kochsalz in Wasser auf der Teilchenebene. Die Abb. enthält bewusst eingebaute Fehler, die die Lernenden heraussuchen und in ihrer Gruppe korrigieren sollen (vgl. hierzu Nickel, H. &amp; Engel, R. (2018). Schau genau. </w:t>
      </w:r>
      <w:proofErr w:type="spellStart"/>
      <w:r>
        <w:rPr>
          <w:i/>
          <w:iCs/>
          <w:color w:val="000000"/>
        </w:rPr>
        <w:t>NiU</w:t>
      </w:r>
      <w:proofErr w:type="spellEnd"/>
      <w:r>
        <w:rPr>
          <w:i/>
          <w:iCs/>
          <w:color w:val="000000"/>
        </w:rPr>
        <w:t>-Chemie, Heft 167, S. 20-24)</w:t>
      </w:r>
    </w:p>
    <w:p w:rsidR="00A76D40" w:rsidRDefault="00A76D40" w:rsidP="00A76D40">
      <w:pPr>
        <w:pBdr>
          <w:bottom w:val="single" w:sz="4" w:space="1" w:color="auto"/>
        </w:pBdr>
        <w:rPr>
          <w:color w:val="000000"/>
        </w:rPr>
      </w:pPr>
    </w:p>
    <w:p w:rsidR="00A76D40" w:rsidRDefault="00A76D40">
      <w:pPr>
        <w:rPr>
          <w:color w:val="000000"/>
        </w:rPr>
      </w:pPr>
    </w:p>
    <w:p w:rsidR="00A76D40" w:rsidRDefault="00A76D40">
      <w:pPr>
        <w:rPr>
          <w:color w:val="000000"/>
        </w:rPr>
      </w:pPr>
      <w:r>
        <w:rPr>
          <w:color w:val="000000"/>
        </w:rPr>
        <w:t xml:space="preserve">A8.9 Suchen Sie weitere Beispiele aus dem Chemieunterricht, in denen inhaltsoffene Medien zur Visualisierung von Vorgängen oder Strukturen hilfreich sein können.  </w:t>
      </w:r>
    </w:p>
    <w:p w:rsidR="00A76D40" w:rsidRDefault="00A76D40">
      <w:pPr>
        <w:rPr>
          <w:color w:val="000000"/>
        </w:rPr>
      </w:pPr>
    </w:p>
    <w:p w:rsidR="00FE21FB" w:rsidRPr="00FE21FB" w:rsidRDefault="00FE21FB">
      <w:pPr>
        <w:rPr>
          <w:i/>
          <w:iCs/>
          <w:color w:val="000000"/>
        </w:rPr>
      </w:pPr>
      <w:r w:rsidRPr="00FE21FB">
        <w:rPr>
          <w:i/>
          <w:iCs/>
          <w:color w:val="000000"/>
        </w:rPr>
        <w:t>Beispielhafte Lösung:</w:t>
      </w:r>
    </w:p>
    <w:p w:rsidR="00FE21FB" w:rsidRPr="00FE21FB" w:rsidRDefault="00A51603" w:rsidP="00FE21FB">
      <w:pPr>
        <w:pStyle w:val="Listenabsatz"/>
        <w:numPr>
          <w:ilvl w:val="0"/>
          <w:numId w:val="8"/>
        </w:numPr>
        <w:rPr>
          <w:i/>
          <w:iCs/>
        </w:rPr>
      </w:pPr>
      <w:r w:rsidRPr="00FE21FB">
        <w:rPr>
          <w:i/>
          <w:iCs/>
        </w:rPr>
        <w:t xml:space="preserve">Mit Knete den Verlauf einer chemischen Reaktion auf der Teilchenebene darstellen. Dies kann </w:t>
      </w:r>
      <w:r w:rsidR="00FE21FB" w:rsidRPr="00FE21FB">
        <w:rPr>
          <w:i/>
          <w:iCs/>
        </w:rPr>
        <w:t>über die Problematisierung, ob die „Teilchen“ der Edukte im Produkt enthalten sind,</w:t>
      </w:r>
      <w:r w:rsidRPr="00FE21FB">
        <w:rPr>
          <w:i/>
          <w:iCs/>
        </w:rPr>
        <w:t xml:space="preserve"> zum Dalton-Modell dienen</w:t>
      </w:r>
      <w:r w:rsidR="00FE21FB" w:rsidRPr="00FE21FB">
        <w:rPr>
          <w:i/>
          <w:iCs/>
        </w:rPr>
        <w:t xml:space="preserve"> (vgl. Abb.) (© Dr. B. Sieve).</w:t>
      </w:r>
    </w:p>
    <w:p w:rsidR="00FE21FB" w:rsidRDefault="00FE21FB" w:rsidP="00FE21FB">
      <w:pPr>
        <w:ind w:left="360"/>
      </w:pPr>
      <w:r w:rsidRPr="003025C2">
        <w:rPr>
          <w:rFonts w:cs="Helvetica"/>
          <w:noProof/>
          <w:lang w:eastAsia="de-DE"/>
        </w:rPr>
        <w:drawing>
          <wp:inline distT="0" distB="0" distL="0" distR="0" wp14:anchorId="3FCE2BAB" wp14:editId="636E0D0B">
            <wp:extent cx="5502031" cy="4147391"/>
            <wp:effectExtent l="0" t="0" r="0" b="5715"/>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9441" t="18297" r="9537" b="9519"/>
                    <a:stretch/>
                  </pic:blipFill>
                  <pic:spPr bwMode="auto">
                    <a:xfrm>
                      <a:off x="0" y="0"/>
                      <a:ext cx="5509816" cy="4153259"/>
                    </a:xfrm>
                    <a:prstGeom prst="rect">
                      <a:avLst/>
                    </a:prstGeom>
                    <a:noFill/>
                    <a:ln>
                      <a:noFill/>
                    </a:ln>
                    <a:extLst>
                      <a:ext uri="{53640926-AAD7-44D8-BBD7-CCE9431645EC}">
                        <a14:shadowObscured xmlns:a14="http://schemas.microsoft.com/office/drawing/2010/main"/>
                      </a:ext>
                    </a:extLst>
                  </pic:spPr>
                </pic:pic>
              </a:graphicData>
            </a:graphic>
          </wp:inline>
        </w:drawing>
      </w:r>
    </w:p>
    <w:p w:rsidR="00FE21FB" w:rsidRPr="00FE21FB" w:rsidRDefault="00FE21FB" w:rsidP="00FE21FB">
      <w:pPr>
        <w:pStyle w:val="Listenabsatz"/>
        <w:numPr>
          <w:ilvl w:val="0"/>
          <w:numId w:val="8"/>
        </w:numPr>
        <w:rPr>
          <w:i/>
          <w:iCs/>
        </w:rPr>
      </w:pPr>
      <w:r w:rsidRPr="00FE21FB">
        <w:rPr>
          <w:i/>
          <w:iCs/>
        </w:rPr>
        <w:t xml:space="preserve">Modellierung des Verlaufs einer chemischen Reaktion über </w:t>
      </w:r>
      <w:proofErr w:type="spellStart"/>
      <w:r w:rsidRPr="00FE21FB">
        <w:rPr>
          <w:i/>
          <w:iCs/>
        </w:rPr>
        <w:t>Knetekugeln</w:t>
      </w:r>
      <w:proofErr w:type="spellEnd"/>
      <w:r w:rsidRPr="00FE21FB">
        <w:rPr>
          <w:i/>
          <w:iCs/>
        </w:rPr>
        <w:t xml:space="preserve"> und </w:t>
      </w:r>
      <w:proofErr w:type="spellStart"/>
      <w:r w:rsidRPr="00FE21FB">
        <w:rPr>
          <w:i/>
          <w:iCs/>
        </w:rPr>
        <w:t>Trinhalmen</w:t>
      </w:r>
      <w:proofErr w:type="spellEnd"/>
      <w:r w:rsidRPr="00FE21FB">
        <w:rPr>
          <w:i/>
          <w:iCs/>
        </w:rPr>
        <w:t>. Die ineinander gesteckten Trinkhalmstücke erlauben die Modellierung der Spaltung und Bildung von Elektronenpaarbindungen. Eine Modellierung des bei der Reaktion ablaufenden Mechanismus ist jedoch nicht möglich. Freie Elektronenpaare lassen sich auch durch Trinkhalmstücke modellieren (vgl. Abb.) (© Dr. B. Sieve)</w:t>
      </w:r>
    </w:p>
    <w:p w:rsidR="00FE21FB" w:rsidRDefault="00FE21FB" w:rsidP="00FE21FB">
      <w:pPr>
        <w:pStyle w:val="Listenabsatz"/>
        <w:ind w:left="360"/>
      </w:pPr>
      <w:r>
        <w:rPr>
          <w:noProof/>
          <w14:ligatures w14:val="standardContextual"/>
        </w:rPr>
        <w:lastRenderedPageBreak/>
        <w:drawing>
          <wp:inline distT="0" distB="0" distL="0" distR="0">
            <wp:extent cx="2520000" cy="1534904"/>
            <wp:effectExtent l="0" t="2858" r="4763" b="4762"/>
            <wp:docPr id="7478963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896338" name="Grafik 747896338"/>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2520000" cy="1534904"/>
                    </a:xfrm>
                    <a:prstGeom prst="rect">
                      <a:avLst/>
                    </a:prstGeom>
                  </pic:spPr>
                </pic:pic>
              </a:graphicData>
            </a:graphic>
          </wp:inline>
        </w:drawing>
      </w:r>
      <w:r>
        <w:rPr>
          <w:noProof/>
          <w14:ligatures w14:val="standardContextual"/>
        </w:rPr>
        <w:drawing>
          <wp:inline distT="0" distB="0" distL="0" distR="0">
            <wp:extent cx="2520000" cy="1944341"/>
            <wp:effectExtent l="0" t="4128" r="3493" b="3492"/>
            <wp:docPr id="106329316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293168" name="Grafik 1063293168"/>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2520000" cy="1944341"/>
                    </a:xfrm>
                    <a:prstGeom prst="rect">
                      <a:avLst/>
                    </a:prstGeom>
                  </pic:spPr>
                </pic:pic>
              </a:graphicData>
            </a:graphic>
          </wp:inline>
        </w:drawing>
      </w:r>
      <w:r>
        <w:rPr>
          <w:noProof/>
          <w14:ligatures w14:val="standardContextual"/>
        </w:rPr>
        <w:drawing>
          <wp:inline distT="0" distB="0" distL="0" distR="0">
            <wp:extent cx="2520000" cy="1812310"/>
            <wp:effectExtent l="0" t="1905" r="5715" b="5715"/>
            <wp:docPr id="199527175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271759" name="Grafik 1995271759"/>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2520000" cy="1812310"/>
                    </a:xfrm>
                    <a:prstGeom prst="rect">
                      <a:avLst/>
                    </a:prstGeom>
                  </pic:spPr>
                </pic:pic>
              </a:graphicData>
            </a:graphic>
          </wp:inline>
        </w:drawing>
      </w:r>
    </w:p>
    <w:p w:rsidR="00FE21FB" w:rsidRDefault="00FE21FB" w:rsidP="00F67F3F">
      <w:pPr>
        <w:pStyle w:val="Listenabsatz"/>
        <w:numPr>
          <w:ilvl w:val="0"/>
          <w:numId w:val="8"/>
        </w:numPr>
        <w:rPr>
          <w:i/>
          <w:iCs/>
        </w:rPr>
      </w:pPr>
      <w:r w:rsidRPr="00F67F3F">
        <w:rPr>
          <w:i/>
          <w:iCs/>
        </w:rPr>
        <w:t>Modellierung des Experiments zum „Molekularen Sieben“ mithilfe von Erbsen, Linsen und Reiskörnern sowie einem grobporigen Sieb (lässt Reis und Linsen durch).</w:t>
      </w:r>
      <w:r w:rsidR="00F67F3F" w:rsidRPr="00F67F3F">
        <w:rPr>
          <w:i/>
          <w:iCs/>
        </w:rPr>
        <w:t xml:space="preserve"> Näheres in Wilms, M.; Fach, M.; </w:t>
      </w:r>
      <w:proofErr w:type="spellStart"/>
      <w:r w:rsidR="00F67F3F" w:rsidRPr="00F67F3F">
        <w:rPr>
          <w:i/>
          <w:iCs/>
        </w:rPr>
        <w:t>Oetken</w:t>
      </w:r>
      <w:proofErr w:type="spellEnd"/>
      <w:r w:rsidR="00F67F3F" w:rsidRPr="00F67F3F">
        <w:rPr>
          <w:i/>
          <w:iCs/>
        </w:rPr>
        <w:t>, M. und</w:t>
      </w:r>
      <w:r w:rsidR="00F67F3F">
        <w:rPr>
          <w:i/>
          <w:iCs/>
        </w:rPr>
        <w:t xml:space="preserve"> </w:t>
      </w:r>
      <w:r w:rsidR="00F67F3F" w:rsidRPr="00F67F3F">
        <w:rPr>
          <w:i/>
          <w:iCs/>
        </w:rPr>
        <w:t>Friedrich, J.: „Molekulares Sieben: Mit</w:t>
      </w:r>
      <w:r w:rsidR="00F67F3F">
        <w:rPr>
          <w:i/>
          <w:iCs/>
        </w:rPr>
        <w:t xml:space="preserve"> </w:t>
      </w:r>
      <w:r w:rsidR="00F67F3F" w:rsidRPr="00F67F3F">
        <w:rPr>
          <w:i/>
          <w:iCs/>
        </w:rPr>
        <w:t xml:space="preserve">Einmachfolie ins Diskontinuum,“ </w:t>
      </w:r>
      <w:proofErr w:type="spellStart"/>
      <w:r w:rsidR="00F67F3F" w:rsidRPr="00F67F3F">
        <w:rPr>
          <w:i/>
          <w:iCs/>
        </w:rPr>
        <w:t>Chemkon</w:t>
      </w:r>
      <w:proofErr w:type="spellEnd"/>
      <w:r w:rsidR="00F67F3F">
        <w:rPr>
          <w:i/>
          <w:iCs/>
        </w:rPr>
        <w:t xml:space="preserve"> </w:t>
      </w:r>
      <w:r w:rsidR="00F67F3F" w:rsidRPr="00F67F3F">
        <w:rPr>
          <w:i/>
          <w:iCs/>
        </w:rPr>
        <w:t>Nr. 3 (2004), S. 127 – 130</w:t>
      </w:r>
    </w:p>
    <w:p w:rsidR="00681F23" w:rsidRPr="00681F23" w:rsidRDefault="00F67F3F" w:rsidP="00681F23">
      <w:pPr>
        <w:pStyle w:val="Listenabsatz"/>
        <w:numPr>
          <w:ilvl w:val="0"/>
          <w:numId w:val="8"/>
        </w:numPr>
        <w:rPr>
          <w:i/>
          <w:iCs/>
        </w:rPr>
      </w:pPr>
      <w:r>
        <w:rPr>
          <w:i/>
          <w:iCs/>
        </w:rPr>
        <w:t xml:space="preserve">Veranschaulichung der Funktion von Neutronen durch Magnete. Die Ferrit-Ringmagnete (Repräsentant für Protonen) werden mit dem Pluspol nach oben gelegt und mit einem </w:t>
      </w:r>
      <w:r w:rsidR="00681F23">
        <w:rPr>
          <w:i/>
          <w:iCs/>
        </w:rPr>
        <w:t>p</w:t>
      </w:r>
      <w:r w:rsidR="00681F23" w:rsidRPr="00681F23">
        <w:rPr>
          <w:i/>
          <w:iCs/>
          <w:vertAlign w:val="superscript"/>
        </w:rPr>
        <w:t>+</w:t>
      </w:r>
      <w:r>
        <w:rPr>
          <w:i/>
          <w:iCs/>
        </w:rPr>
        <w:t xml:space="preserve">-Symbol versehen. Eine Annäherung der „Protonen“ ist aufgrund der wirkenden Abstoßung </w:t>
      </w:r>
      <w:r w:rsidR="00681F23">
        <w:rPr>
          <w:i/>
          <w:iCs/>
        </w:rPr>
        <w:t>nicht möglich. Erst wenn zwischen die „Protonen“ 2-Cent-Münzen gelegt werden (mit dem Buchstaben n versehen; Repräsentant für Neutronen), entsteht eine stabile Anordnung (vgl. Abb.) (© Dr. B. Sieve)</w:t>
      </w:r>
    </w:p>
    <w:p w:rsidR="00681F23" w:rsidRPr="00F67F3F" w:rsidRDefault="00681F23" w:rsidP="00681F23">
      <w:pPr>
        <w:pStyle w:val="Listenabsatz"/>
        <w:ind w:left="360"/>
        <w:rPr>
          <w:i/>
          <w:iCs/>
        </w:rPr>
      </w:pPr>
      <w:r>
        <w:rPr>
          <w:i/>
          <w:iCs/>
          <w:noProof/>
          <w14:ligatures w14:val="standardContextual"/>
        </w:rPr>
        <w:drawing>
          <wp:inline distT="0" distB="0" distL="0" distR="0">
            <wp:extent cx="2880000" cy="2414613"/>
            <wp:effectExtent l="0" t="0" r="3175" b="0"/>
            <wp:docPr id="56785420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54209" name="Grafik 56785420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2414613"/>
                    </a:xfrm>
                    <a:prstGeom prst="rect">
                      <a:avLst/>
                    </a:prstGeom>
                  </pic:spPr>
                </pic:pic>
              </a:graphicData>
            </a:graphic>
          </wp:inline>
        </w:drawing>
      </w:r>
    </w:p>
    <w:p w:rsidR="00A76D40" w:rsidRDefault="00A76D40"/>
    <w:sectPr w:rsidR="00A76D40" w:rsidSect="00662123">
      <w:pgSz w:w="11900" w:h="16820"/>
      <w:pgMar w:top="1417" w:right="1417" w:bottom="1134"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20102010804080708"/>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Noto Sans Symbols">
    <w:altName w:val="Calibri"/>
    <w:panose1 w:val="020B0604020202020204"/>
    <w:charset w:val="00"/>
    <w:family w:val="auto"/>
    <w:pitch w:val="default"/>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632D0"/>
    <w:multiLevelType w:val="hybridMultilevel"/>
    <w:tmpl w:val="73645BF6"/>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D826051"/>
    <w:multiLevelType w:val="hybridMultilevel"/>
    <w:tmpl w:val="D54A171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23204272"/>
    <w:multiLevelType w:val="hybridMultilevel"/>
    <w:tmpl w:val="B7DE536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31024693"/>
    <w:multiLevelType w:val="hybridMultilevel"/>
    <w:tmpl w:val="74847A8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35E125AF"/>
    <w:multiLevelType w:val="hybridMultilevel"/>
    <w:tmpl w:val="2026CEE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4A975544"/>
    <w:multiLevelType w:val="hybridMultilevel"/>
    <w:tmpl w:val="773A717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5ACC1F87"/>
    <w:multiLevelType w:val="hybridMultilevel"/>
    <w:tmpl w:val="D386445E"/>
    <w:lvl w:ilvl="0" w:tplc="EF5ACE16">
      <w:start w:val="19"/>
      <w:numFmt w:val="bullet"/>
      <w:lvlText w:val="-"/>
      <w:lvlJc w:val="left"/>
      <w:pPr>
        <w:ind w:left="360" w:hanging="360"/>
      </w:pPr>
      <w:rPr>
        <w:rFonts w:ascii="Calibri" w:eastAsiaTheme="minorEastAsia" w:hAnsi="Calibri" w:cs="Calibri"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5DB36C98"/>
    <w:multiLevelType w:val="multilevel"/>
    <w:tmpl w:val="AB66F3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DF10986"/>
    <w:multiLevelType w:val="hybridMultilevel"/>
    <w:tmpl w:val="F8BCE29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70A35DBD"/>
    <w:multiLevelType w:val="hybridMultilevel"/>
    <w:tmpl w:val="AA70353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798838283">
    <w:abstractNumId w:val="4"/>
  </w:num>
  <w:num w:numId="2" w16cid:durableId="505872471">
    <w:abstractNumId w:val="3"/>
  </w:num>
  <w:num w:numId="3" w16cid:durableId="32969965">
    <w:abstractNumId w:val="8"/>
  </w:num>
  <w:num w:numId="4" w16cid:durableId="786242957">
    <w:abstractNumId w:val="7"/>
  </w:num>
  <w:num w:numId="5" w16cid:durableId="1629554172">
    <w:abstractNumId w:val="0"/>
  </w:num>
  <w:num w:numId="6" w16cid:durableId="1968388796">
    <w:abstractNumId w:val="6"/>
  </w:num>
  <w:num w:numId="7" w16cid:durableId="1822846942">
    <w:abstractNumId w:val="9"/>
  </w:num>
  <w:num w:numId="8" w16cid:durableId="114448116">
    <w:abstractNumId w:val="1"/>
  </w:num>
  <w:num w:numId="9" w16cid:durableId="1943562084">
    <w:abstractNumId w:val="5"/>
  </w:num>
  <w:num w:numId="10" w16cid:durableId="16741390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proofState w:spelling="clean" w:grammar="clean"/>
  <w:defaultTabStop w:val="708"/>
  <w:hyphenationZone w:val="425"/>
  <w:evenAndOddHeaders/>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D11"/>
    <w:rsid w:val="00035993"/>
    <w:rsid w:val="000A462A"/>
    <w:rsid w:val="000A68BC"/>
    <w:rsid w:val="000D6521"/>
    <w:rsid w:val="000E13F2"/>
    <w:rsid w:val="0011540A"/>
    <w:rsid w:val="00161D33"/>
    <w:rsid w:val="00205F48"/>
    <w:rsid w:val="00227B57"/>
    <w:rsid w:val="00233D11"/>
    <w:rsid w:val="00246A9B"/>
    <w:rsid w:val="002744C8"/>
    <w:rsid w:val="00280B21"/>
    <w:rsid w:val="002B461A"/>
    <w:rsid w:val="002D694C"/>
    <w:rsid w:val="003073D0"/>
    <w:rsid w:val="00311CAC"/>
    <w:rsid w:val="00406E3D"/>
    <w:rsid w:val="004C5030"/>
    <w:rsid w:val="004E6463"/>
    <w:rsid w:val="004F3A8B"/>
    <w:rsid w:val="0052049E"/>
    <w:rsid w:val="00523F0A"/>
    <w:rsid w:val="005A22F4"/>
    <w:rsid w:val="005C2FDF"/>
    <w:rsid w:val="00612A38"/>
    <w:rsid w:val="00662123"/>
    <w:rsid w:val="00681F23"/>
    <w:rsid w:val="00694FBB"/>
    <w:rsid w:val="006A0AF9"/>
    <w:rsid w:val="006C7E47"/>
    <w:rsid w:val="006D283A"/>
    <w:rsid w:val="006D4DB3"/>
    <w:rsid w:val="00796069"/>
    <w:rsid w:val="007F3281"/>
    <w:rsid w:val="00867ECD"/>
    <w:rsid w:val="008C721F"/>
    <w:rsid w:val="008E0D87"/>
    <w:rsid w:val="009842A1"/>
    <w:rsid w:val="009A3FD8"/>
    <w:rsid w:val="00A06A50"/>
    <w:rsid w:val="00A20C2F"/>
    <w:rsid w:val="00A20FC4"/>
    <w:rsid w:val="00A3046D"/>
    <w:rsid w:val="00A51603"/>
    <w:rsid w:val="00A76D40"/>
    <w:rsid w:val="00AA0ACB"/>
    <w:rsid w:val="00AC124E"/>
    <w:rsid w:val="00AE3991"/>
    <w:rsid w:val="00BD0DCA"/>
    <w:rsid w:val="00BE1ED5"/>
    <w:rsid w:val="00C31A01"/>
    <w:rsid w:val="00C33288"/>
    <w:rsid w:val="00CA6F61"/>
    <w:rsid w:val="00CC62A6"/>
    <w:rsid w:val="00CD26D3"/>
    <w:rsid w:val="00D86140"/>
    <w:rsid w:val="00E7039E"/>
    <w:rsid w:val="00E919C7"/>
    <w:rsid w:val="00EA6562"/>
    <w:rsid w:val="00EC0BC1"/>
    <w:rsid w:val="00EF24D7"/>
    <w:rsid w:val="00F0150E"/>
    <w:rsid w:val="00F05D5B"/>
    <w:rsid w:val="00F67F3F"/>
    <w:rsid w:val="00F7030A"/>
    <w:rsid w:val="00FA2001"/>
    <w:rsid w:val="00FB0ED0"/>
    <w:rsid w:val="00FB6C99"/>
    <w:rsid w:val="00FD7127"/>
    <w:rsid w:val="00FE21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7F1FF"/>
  <w15:chartTrackingRefBased/>
  <w15:docId w15:val="{BFD49044-34CF-D54F-8EB5-891765F77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eastAsiaTheme="minorEastAs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073D0"/>
    <w:pPr>
      <w:ind w:left="720"/>
      <w:contextualSpacing/>
    </w:pPr>
    <w:rPr>
      <w:kern w:val="0"/>
      <w14:ligatures w14:val="none"/>
    </w:rPr>
  </w:style>
  <w:style w:type="table" w:styleId="Tabellenraster">
    <w:name w:val="Table Grid"/>
    <w:basedOn w:val="NormaleTabelle"/>
    <w:uiPriority w:val="39"/>
    <w:rsid w:val="002744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76D40"/>
    <w:rPr>
      <w:color w:val="0563C1" w:themeColor="hyperlink"/>
      <w:u w:val="single"/>
    </w:rPr>
  </w:style>
  <w:style w:type="character" w:styleId="NichtaufgelsteErwhnung">
    <w:name w:val="Unresolved Mention"/>
    <w:basedOn w:val="Absatz-Standardschriftart"/>
    <w:uiPriority w:val="99"/>
    <w:semiHidden/>
    <w:unhideWhenUsed/>
    <w:rsid w:val="00A76D40"/>
    <w:rPr>
      <w:color w:val="605E5C"/>
      <w:shd w:val="clear" w:color="auto" w:fill="E1DFDD"/>
    </w:rPr>
  </w:style>
  <w:style w:type="character" w:styleId="BesuchterLink">
    <w:name w:val="FollowedHyperlink"/>
    <w:basedOn w:val="Absatz-Standardschriftart"/>
    <w:uiPriority w:val="99"/>
    <w:semiHidden/>
    <w:unhideWhenUsed/>
    <w:rsid w:val="00A3046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3028726">
      <w:bodyDiv w:val="1"/>
      <w:marLeft w:val="0"/>
      <w:marRight w:val="0"/>
      <w:marTop w:val="0"/>
      <w:marBottom w:val="0"/>
      <w:divBdr>
        <w:top w:val="none" w:sz="0" w:space="0" w:color="auto"/>
        <w:left w:val="none" w:sz="0" w:space="0" w:color="auto"/>
        <w:bottom w:val="none" w:sz="0" w:space="0" w:color="auto"/>
        <w:right w:val="none" w:sz="0" w:space="0" w:color="auto"/>
      </w:divBdr>
      <w:divsChild>
        <w:div w:id="1919708520">
          <w:marLeft w:val="0"/>
          <w:marRight w:val="0"/>
          <w:marTop w:val="0"/>
          <w:marBottom w:val="0"/>
          <w:divBdr>
            <w:top w:val="none" w:sz="0" w:space="0" w:color="auto"/>
            <w:left w:val="none" w:sz="0" w:space="0" w:color="auto"/>
            <w:bottom w:val="none" w:sz="0" w:space="0" w:color="auto"/>
            <w:right w:val="none" w:sz="0" w:space="0" w:color="auto"/>
          </w:divBdr>
        </w:div>
        <w:div w:id="12514259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n.pub/pyihe6"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s://phet.colorado.edu/de/simulations/filter?type=html" TargetMode="Externa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joint-research-centre.ec.europa.eu/system/files/2018-09/digcompedu_leaflet_de_2018-01.pdf" TargetMode="External"/><Relationship Id="rId11" Type="http://schemas.openxmlformats.org/officeDocument/2006/relationships/image" Target="media/image3.jpeg"/><Relationship Id="rId5" Type="http://schemas.openxmlformats.org/officeDocument/2006/relationships/hyperlink" Target="https://dikolan.de/kompetenzen" TargetMode="Externa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2854</Words>
  <Characters>17983</Characters>
  <Application>Microsoft Office Word</Application>
  <DocSecurity>0</DocSecurity>
  <Lines>149</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Bernhard Sieve</dc:creator>
  <cp:keywords/>
  <dc:description/>
  <cp:lastModifiedBy>Bernhard Sieve</cp:lastModifiedBy>
  <cp:revision>18</cp:revision>
  <dcterms:created xsi:type="dcterms:W3CDTF">2024-06-28T20:49:00Z</dcterms:created>
  <dcterms:modified xsi:type="dcterms:W3CDTF">2024-11-10T22:23:00Z</dcterms:modified>
</cp:coreProperties>
</file>